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23E13" w14:textId="02B03AC4" w:rsidR="00277D41" w:rsidRPr="00CA6965" w:rsidRDefault="00277D41" w:rsidP="00277D41">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Pr="00CA6965">
        <w:rPr>
          <w:rFonts w:ascii="Arial" w:eastAsia="MS Mincho" w:hAnsi="Arial" w:cs="Arial"/>
          <w:b/>
          <w:sz w:val="24"/>
          <w:szCs w:val="24"/>
          <w:lang w:val="de-DE" w:eastAsia="x-none"/>
        </w:rPr>
        <w:tab/>
      </w:r>
      <w:r w:rsidR="005D6D93" w:rsidRPr="005D6D93">
        <w:rPr>
          <w:rFonts w:ascii="Arial" w:eastAsia="MS Mincho" w:hAnsi="Arial" w:cs="Arial"/>
          <w:b/>
          <w:sz w:val="24"/>
          <w:szCs w:val="24"/>
          <w:lang w:val="de-DE" w:eastAsia="x-none"/>
        </w:rPr>
        <w:t>R2-2308738</w:t>
      </w:r>
    </w:p>
    <w:p w14:paraId="70441C0B" w14:textId="77777777" w:rsidR="00277D41" w:rsidRPr="00CA6965" w:rsidRDefault="00277D41" w:rsidP="00277D41">
      <w:pPr>
        <w:widowControl/>
        <w:tabs>
          <w:tab w:val="left" w:pos="1979"/>
        </w:tabs>
        <w:spacing w:after="180"/>
        <w:jc w:val="left"/>
        <w:rPr>
          <w:rFonts w:ascii="Arial" w:eastAsia="Tahoma" w:hAnsi="Arial" w:cs="Arial"/>
          <w:b/>
          <w:bCs/>
          <w:kern w:val="0"/>
          <w:sz w:val="24"/>
          <w:szCs w:val="24"/>
        </w:rPr>
      </w:pPr>
      <w:r w:rsidRPr="009F2654">
        <w:rPr>
          <w:rFonts w:ascii="Arial" w:hAnsi="Arial" w:cs="Arial"/>
          <w:b/>
          <w:bCs/>
          <w:kern w:val="0"/>
          <w:sz w:val="24"/>
          <w:szCs w:val="24"/>
        </w:rPr>
        <w:t>Toulouse</w:t>
      </w:r>
      <w:r w:rsidRPr="009F2654">
        <w:rPr>
          <w:rFonts w:ascii="Arial" w:eastAsia="Tahoma" w:hAnsi="Arial" w:cs="Arial"/>
          <w:b/>
          <w:bCs/>
          <w:kern w:val="0"/>
          <w:sz w:val="24"/>
          <w:szCs w:val="24"/>
        </w:rPr>
        <w:t>, France, 21</w:t>
      </w:r>
      <w:r w:rsidRPr="009F2654">
        <w:rPr>
          <w:rFonts w:ascii="Arial" w:eastAsia="Tahoma" w:hAnsi="Arial" w:cs="Arial"/>
          <w:b/>
          <w:bCs/>
          <w:kern w:val="0"/>
          <w:sz w:val="24"/>
          <w:szCs w:val="24"/>
          <w:vertAlign w:val="superscript"/>
        </w:rPr>
        <w:t>st</w:t>
      </w:r>
      <w:r w:rsidRPr="009F2654">
        <w:rPr>
          <w:rFonts w:ascii="Arial" w:eastAsia="Tahoma" w:hAnsi="Arial" w:cs="Arial"/>
          <w:b/>
          <w:bCs/>
          <w:kern w:val="0"/>
          <w:sz w:val="24"/>
          <w:szCs w:val="24"/>
        </w:rPr>
        <w:t xml:space="preserve"> Aug</w:t>
      </w:r>
      <w:r w:rsidRPr="00CA6965">
        <w:rPr>
          <w:rFonts w:ascii="Arial" w:eastAsia="Tahoma" w:hAnsi="Arial" w:cs="Arial"/>
          <w:b/>
          <w:bCs/>
          <w:kern w:val="0"/>
          <w:sz w:val="24"/>
          <w:szCs w:val="24"/>
        </w:rPr>
        <w:t xml:space="preserve"> – 2</w:t>
      </w:r>
      <w:r>
        <w:rPr>
          <w:rFonts w:ascii="Arial" w:eastAsia="Tahoma" w:hAnsi="Arial" w:cs="Arial"/>
          <w:b/>
          <w:bCs/>
          <w:kern w:val="0"/>
          <w:sz w:val="24"/>
          <w:szCs w:val="24"/>
        </w:rPr>
        <w:t>5</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Aug</w:t>
      </w:r>
      <w:r w:rsidRPr="00CA6965">
        <w:rPr>
          <w:rFonts w:ascii="Arial" w:eastAsia="Tahoma" w:hAnsi="Arial" w:cs="Arial"/>
          <w:b/>
          <w:bCs/>
          <w:kern w:val="0"/>
          <w:sz w:val="24"/>
          <w:szCs w:val="24"/>
        </w:rPr>
        <w:t>, 2023</w:t>
      </w:r>
    </w:p>
    <w:p w14:paraId="7FF4B439" w14:textId="77777777" w:rsidR="00277D41" w:rsidRDefault="00277D41" w:rsidP="00277D41">
      <w:pPr>
        <w:widowControl/>
        <w:tabs>
          <w:tab w:val="left" w:pos="1800"/>
          <w:tab w:val="right" w:pos="9072"/>
        </w:tabs>
        <w:ind w:left="1800" w:hanging="1800"/>
        <w:jc w:val="left"/>
        <w:rPr>
          <w:rFonts w:ascii="Arial" w:eastAsia="宋体" w:hAnsi="Arial" w:cs="Times New Roman"/>
          <w:b/>
          <w:kern w:val="0"/>
          <w:sz w:val="22"/>
          <w:szCs w:val="22"/>
        </w:rPr>
      </w:pPr>
    </w:p>
    <w:p w14:paraId="543CFFF5" w14:textId="77777777" w:rsidR="00F32BCC" w:rsidRPr="00CA6965" w:rsidRDefault="00F32BCC" w:rsidP="00F32BC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bookmarkEnd w:id="5"/>
    </w:p>
    <w:p w14:paraId="69B2F401" w14:textId="3DCB29D9" w:rsidR="00277D41" w:rsidRPr="00F06FA4" w:rsidRDefault="00277D41" w:rsidP="00277D41">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r w:rsidRPr="005D6D93">
        <w:rPr>
          <w:rFonts w:ascii="Arial" w:hAnsi="Arial" w:cs="Arial"/>
          <w:b/>
          <w:kern w:val="0"/>
          <w:sz w:val="22"/>
          <w:szCs w:val="22"/>
        </w:rPr>
        <w:t>,</w:t>
      </w:r>
      <w:r w:rsidR="00EA306D" w:rsidRPr="005D6D93">
        <w:rPr>
          <w:rFonts w:ascii="Arial" w:hAnsi="Arial" w:cs="Arial"/>
          <w:b/>
          <w:kern w:val="0"/>
          <w:sz w:val="22"/>
          <w:szCs w:val="22"/>
        </w:rPr>
        <w:t xml:space="preserve"> Fraunhofer IIS, Huawei, HiSilicon,</w:t>
      </w:r>
      <w:r w:rsidRPr="005D6D93">
        <w:rPr>
          <w:rFonts w:ascii="Arial" w:hAnsi="Arial" w:cs="Arial"/>
          <w:b/>
          <w:kern w:val="0"/>
          <w:sz w:val="22"/>
          <w:szCs w:val="22"/>
        </w:rPr>
        <w:t xml:space="preserve"> </w:t>
      </w:r>
      <w:r w:rsidR="005234B1" w:rsidRPr="005D6D93">
        <w:rPr>
          <w:rFonts w:ascii="Arial" w:hAnsi="Arial" w:cs="Arial"/>
          <w:b/>
          <w:kern w:val="0"/>
          <w:sz w:val="22"/>
          <w:szCs w:val="22"/>
        </w:rPr>
        <w:t>LG Electronics Inc., MediaTek Inc., NEC,</w:t>
      </w:r>
      <w:r w:rsidR="00867BA5">
        <w:rPr>
          <w:rFonts w:ascii="Arial" w:hAnsi="Arial" w:cs="Arial"/>
          <w:b/>
          <w:kern w:val="0"/>
          <w:sz w:val="22"/>
          <w:szCs w:val="22"/>
        </w:rPr>
        <w:t xml:space="preserve"> Xiaomi</w:t>
      </w:r>
    </w:p>
    <w:p w14:paraId="1147A99A" w14:textId="4C686C2B" w:rsidR="00277D41" w:rsidRDefault="00277D41" w:rsidP="00277D41">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277D41">
        <w:rPr>
          <w:rFonts w:ascii="Arial" w:eastAsia="宋体" w:hAnsi="Arial" w:cs="Times New Roman"/>
          <w:b/>
          <w:kern w:val="0"/>
          <w:sz w:val="22"/>
          <w:szCs w:val="22"/>
        </w:rPr>
        <w:t xml:space="preserve">UE </w:t>
      </w:r>
      <w:r w:rsidR="00266444">
        <w:rPr>
          <w:rFonts w:ascii="Arial" w:eastAsia="宋体" w:hAnsi="Arial" w:cs="Times New Roman"/>
          <w:b/>
          <w:kern w:val="0"/>
          <w:sz w:val="22"/>
          <w:szCs w:val="22"/>
        </w:rPr>
        <w:t>C-</w:t>
      </w:r>
      <w:r w:rsidRPr="00277D41">
        <w:rPr>
          <w:rFonts w:ascii="Arial" w:eastAsia="宋体" w:hAnsi="Arial" w:cs="Times New Roman"/>
          <w:b/>
          <w:kern w:val="0"/>
          <w:sz w:val="22"/>
          <w:szCs w:val="22"/>
        </w:rPr>
        <w:t>DRX configuration used upon cell DTX activation</w:t>
      </w:r>
    </w:p>
    <w:p w14:paraId="55E8A5D4" w14:textId="77777777" w:rsidR="00277D41" w:rsidRPr="00541641" w:rsidRDefault="00277D41" w:rsidP="00277D41">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55B4E8E2" w:rsidR="00541641" w:rsidRDefault="009726C1" w:rsidP="003777D8">
      <w:pPr>
        <w:spacing w:before="120"/>
      </w:pPr>
      <w:bookmarkStart w:id="7" w:name="_Hlk92533704"/>
      <w:r>
        <w:rPr>
          <w:rFonts w:eastAsia="宋体"/>
        </w:rPr>
        <w:t>During the R18 NES SI phase, RAN2 agreed that i</w:t>
      </w:r>
      <w:r w:rsidRPr="009726C1">
        <w:rPr>
          <w:rFonts w:eastAsia="宋体"/>
        </w:rPr>
        <w:t>t is beneficial to align UE DRX with network DTX and DRX alignment among multiple UEs</w:t>
      </w:r>
      <w:r>
        <w:rPr>
          <w:rFonts w:eastAsia="宋体"/>
        </w:rPr>
        <w:t xml:space="preserve"> [1]</w:t>
      </w:r>
      <w:r w:rsidRPr="009726C1">
        <w:rPr>
          <w:rFonts w:eastAsia="宋体"/>
        </w:rPr>
        <w:t>.</w:t>
      </w:r>
      <w:r>
        <w:rPr>
          <w:rFonts w:eastAsia="宋体"/>
        </w:rPr>
        <w:t xml:space="preserve"> </w:t>
      </w:r>
      <w:r w:rsidR="00541641">
        <w:rPr>
          <w:rFonts w:eastAsia="宋体"/>
        </w:rPr>
        <w:t>In this contribution</w:t>
      </w:r>
      <w:r w:rsidR="00A93A63">
        <w:rPr>
          <w:rFonts w:eastAsia="宋体"/>
        </w:rPr>
        <w:t>,</w:t>
      </w:r>
      <w:r w:rsidR="00541641">
        <w:rPr>
          <w:rFonts w:eastAsia="宋体"/>
        </w:rPr>
        <w:t xml:space="preserve"> we will</w:t>
      </w:r>
      <w:r>
        <w:rPr>
          <w:rFonts w:eastAsia="宋体"/>
        </w:rPr>
        <w:t xml:space="preserve"> continue to discuss </w:t>
      </w:r>
      <w:r w:rsidR="009F7FA4">
        <w:rPr>
          <w:rFonts w:eastAsia="宋体"/>
        </w:rPr>
        <w:t>about the</w:t>
      </w:r>
      <w:r>
        <w:rPr>
          <w:rFonts w:eastAsia="宋体"/>
        </w:rPr>
        <w:t xml:space="preserve"> UE DRX</w:t>
      </w:r>
      <w:r w:rsidR="00541641">
        <w:rPr>
          <w:rFonts w:eastAsia="宋体"/>
        </w:rPr>
        <w:t xml:space="preserve"> </w:t>
      </w:r>
      <w:r w:rsidR="009F7FA4">
        <w:rPr>
          <w:rFonts w:eastAsia="宋体"/>
        </w:rPr>
        <w:t>alignment issue</w:t>
      </w:r>
      <w:r w:rsidR="00541641">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18575831" w:rsidR="00541641" w:rsidRDefault="00541641" w:rsidP="00541641">
      <w:pPr>
        <w:pStyle w:val="2"/>
      </w:pPr>
      <w:r>
        <w:t>Background</w:t>
      </w:r>
    </w:p>
    <w:p w14:paraId="69DF218C" w14:textId="17D04EFE" w:rsidR="00A2414B" w:rsidRDefault="009726C1" w:rsidP="00B3204D">
      <w:pPr>
        <w:spacing w:after="120"/>
      </w:pPr>
      <w:r>
        <w:t xml:space="preserve">At R2#119bis, </w:t>
      </w:r>
      <w:r w:rsidR="008704A2">
        <w:t>RAN2 reached the following agreement on UE DRX alignment issue for cell DTX/DRX [1]:</w:t>
      </w:r>
    </w:p>
    <w:tbl>
      <w:tblPr>
        <w:tblStyle w:val="a7"/>
        <w:tblW w:w="0" w:type="auto"/>
        <w:tblLook w:val="04A0" w:firstRow="1" w:lastRow="0" w:firstColumn="1" w:lastColumn="0" w:noHBand="0" w:noVBand="1"/>
      </w:tblPr>
      <w:tblGrid>
        <w:gridCol w:w="9628"/>
      </w:tblGrid>
      <w:tr w:rsidR="008704A2" w14:paraId="0B82648F" w14:textId="77777777" w:rsidTr="008704A2">
        <w:tc>
          <w:tcPr>
            <w:tcW w:w="9628" w:type="dxa"/>
          </w:tcPr>
          <w:p w14:paraId="5F6E398C" w14:textId="77777777" w:rsidR="008704A2" w:rsidRPr="008704A2" w:rsidRDefault="008704A2" w:rsidP="008704A2">
            <w:pPr>
              <w:spacing w:after="120"/>
              <w:rPr>
                <w:b/>
              </w:rPr>
            </w:pPr>
            <w:r w:rsidRPr="008704A2">
              <w:rPr>
                <w:b/>
              </w:rPr>
              <w:t xml:space="preserve">Agreements </w:t>
            </w:r>
          </w:p>
          <w:p w14:paraId="0F9613CD" w14:textId="4695B6A7" w:rsidR="008704A2" w:rsidRDefault="008704A2" w:rsidP="008704A2">
            <w:pPr>
              <w:spacing w:after="120"/>
            </w:pPr>
            <w:r>
              <w:t>=&gt;</w:t>
            </w:r>
            <w:r>
              <w:tab/>
            </w:r>
            <w:r w:rsidRPr="000725E4">
              <w:rPr>
                <w:highlight w:val="yellow"/>
              </w:rPr>
              <w:t>It is beneficial to align UE DRX with network DTX and DRX alignment among multiple UEs.</w:t>
            </w:r>
            <w:r>
              <w:t xml:space="preserve">  Details are FFS, including UE transmission/reception behavior during DTX.  RAN2 to study the alignment.   </w:t>
            </w:r>
          </w:p>
        </w:tc>
      </w:tr>
    </w:tbl>
    <w:p w14:paraId="49360F49" w14:textId="186559EE" w:rsidR="008704A2" w:rsidRDefault="008704A2" w:rsidP="002F7666">
      <w:pPr>
        <w:spacing w:before="120" w:after="120"/>
      </w:pPr>
      <w:r>
        <w:t xml:space="preserve">At R2#121bis, RAN2 sent an LS to RAN1 </w:t>
      </w:r>
      <w:r>
        <w:rPr>
          <w:rFonts w:hint="eastAsia"/>
        </w:rPr>
        <w:t>t</w:t>
      </w:r>
      <w:r>
        <w:t>o ask about</w:t>
      </w:r>
      <w:r w:rsidR="002F7666">
        <w:t xml:space="preserve"> the </w:t>
      </w:r>
      <w:r w:rsidR="002F7666" w:rsidRPr="002F7666">
        <w:t>feasibility and reliability of using L1 signalling for Cell DTX/DRX activation and deactivation</w:t>
      </w:r>
      <w:r w:rsidR="002F7666">
        <w:t xml:space="preserve">, as companies saw a benefit </w:t>
      </w:r>
      <w:r w:rsidR="002F7666" w:rsidRPr="002F7666">
        <w:t xml:space="preserve">with </w:t>
      </w:r>
      <w:r w:rsidR="009F7FA4">
        <w:t xml:space="preserve">using group common signalling to reduce the signalling overhead caused by </w:t>
      </w:r>
      <w:r w:rsidR="009F7FA4" w:rsidRPr="009F7FA4">
        <w:t>multiple dedicated RRC messages</w:t>
      </w:r>
      <w:r w:rsidR="000725E4">
        <w:t xml:space="preserve"> [2]</w:t>
      </w:r>
      <w:r w:rsidR="002F7666">
        <w:t xml:space="preserve">. After that, </w:t>
      </w:r>
      <w:r w:rsidR="000725E4">
        <w:t>RAN1 replied at R1#113 as below [3]:</w:t>
      </w:r>
    </w:p>
    <w:tbl>
      <w:tblPr>
        <w:tblStyle w:val="a7"/>
        <w:tblW w:w="0" w:type="auto"/>
        <w:tblLook w:val="04A0" w:firstRow="1" w:lastRow="0" w:firstColumn="1" w:lastColumn="0" w:noHBand="0" w:noVBand="1"/>
      </w:tblPr>
      <w:tblGrid>
        <w:gridCol w:w="9628"/>
      </w:tblGrid>
      <w:tr w:rsidR="000725E4" w14:paraId="54FE7C8C" w14:textId="77777777" w:rsidTr="000725E4">
        <w:tc>
          <w:tcPr>
            <w:tcW w:w="9628" w:type="dxa"/>
          </w:tcPr>
          <w:p w14:paraId="56732130" w14:textId="77777777" w:rsidR="000725E4" w:rsidRPr="009F7FA4" w:rsidRDefault="000725E4" w:rsidP="000725E4">
            <w:pPr>
              <w:rPr>
                <w:lang w:eastAsia="ja-JP"/>
              </w:rPr>
            </w:pPr>
            <w:r w:rsidRPr="009F7FA4">
              <w:rPr>
                <w:lang w:eastAsia="ja-JP"/>
              </w:rPr>
              <w:t>With respect to questions asked by RAN2, RAN1 has made the following agreements:</w:t>
            </w:r>
          </w:p>
          <w:p w14:paraId="19CD1039" w14:textId="77777777" w:rsidR="000725E4" w:rsidRPr="009F7FA4" w:rsidRDefault="000725E4" w:rsidP="000725E4">
            <w:pPr>
              <w:pStyle w:val="aa"/>
              <w:widowControl/>
              <w:numPr>
                <w:ilvl w:val="0"/>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9F7FA4">
              <w:rPr>
                <w:rFonts w:ascii="Times New Roman" w:hAnsi="Times New Roman"/>
                <w:sz w:val="20"/>
                <w:szCs w:val="20"/>
                <w:lang w:eastAsia="ja-JP"/>
              </w:rPr>
              <w:t>Support of L1 signaling at least for activation/deactivation of a cell DTX and/or DRX configuration is feasible (e.g., in terms of enabling/disabling the feature) from RAN1 perspective.</w:t>
            </w:r>
          </w:p>
          <w:p w14:paraId="6AF40FC1" w14:textId="77777777" w:rsidR="000725E4" w:rsidRPr="009F7FA4" w:rsidRDefault="000725E4" w:rsidP="000725E4">
            <w:pPr>
              <w:pStyle w:val="aa"/>
              <w:ind w:firstLine="400"/>
              <w:rPr>
                <w:rFonts w:ascii="Times New Roman" w:hAnsi="Times New Roman"/>
                <w:sz w:val="20"/>
                <w:szCs w:val="20"/>
                <w:lang w:eastAsia="ja-JP"/>
              </w:rPr>
            </w:pPr>
          </w:p>
          <w:p w14:paraId="300D5008" w14:textId="77777777" w:rsidR="000725E4" w:rsidRPr="009F7FA4" w:rsidRDefault="000725E4" w:rsidP="000725E4">
            <w:pPr>
              <w:pStyle w:val="aa"/>
              <w:widowControl/>
              <w:numPr>
                <w:ilvl w:val="0"/>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9F7FA4">
              <w:rPr>
                <w:rFonts w:ascii="Times New Roman" w:hAnsi="Times New Roman"/>
                <w:sz w:val="20"/>
                <w:szCs w:val="20"/>
                <w:highlight w:val="yellow"/>
                <w:lang w:eastAsia="ja-JP"/>
              </w:rPr>
              <w:t>RAN1 supports the group common L1 signaling using PDCCH for cell DTX/DRX activation and deactivation without HARQ feedback.</w:t>
            </w:r>
          </w:p>
          <w:p w14:paraId="09C4128F" w14:textId="77777777" w:rsidR="000725E4" w:rsidRPr="005D6D93" w:rsidRDefault="000725E4" w:rsidP="000725E4">
            <w:pPr>
              <w:pStyle w:val="aa"/>
              <w:widowControl/>
              <w:numPr>
                <w:ilvl w:val="1"/>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5D6D93">
              <w:rPr>
                <w:rFonts w:ascii="Times New Roman" w:hAnsi="Times New Roman"/>
                <w:sz w:val="20"/>
                <w:szCs w:val="20"/>
                <w:lang w:eastAsia="ja-JP"/>
              </w:rPr>
              <w:t>subject to UE capability</w:t>
            </w:r>
          </w:p>
          <w:p w14:paraId="4464402B" w14:textId="4B031DFC" w:rsidR="005234B1" w:rsidRPr="005D6D93" w:rsidRDefault="000725E4" w:rsidP="005234B1">
            <w:pPr>
              <w:pStyle w:val="aa"/>
              <w:widowControl/>
              <w:numPr>
                <w:ilvl w:val="1"/>
                <w:numId w:val="18"/>
              </w:numPr>
              <w:overflowPunct w:val="0"/>
              <w:autoSpaceDE w:val="0"/>
              <w:autoSpaceDN w:val="0"/>
              <w:adjustRightInd w:val="0"/>
              <w:spacing w:after="180"/>
              <w:ind w:firstLineChars="0"/>
              <w:contextualSpacing/>
              <w:jc w:val="left"/>
              <w:rPr>
                <w:rFonts w:ascii="Arial" w:hAnsi="Arial" w:cs="Arial"/>
                <w:lang w:eastAsia="ja-JP"/>
              </w:rPr>
            </w:pPr>
            <w:r w:rsidRPr="005D6D93">
              <w:rPr>
                <w:rFonts w:ascii="Times New Roman" w:hAnsi="Times New Roman"/>
                <w:sz w:val="20"/>
                <w:szCs w:val="20"/>
                <w:lang w:eastAsia="ja-JP"/>
              </w:rPr>
              <w:t>RAN1 asks RAN2 to consider the additional support of a MAC CE based indication.</w:t>
            </w:r>
          </w:p>
        </w:tc>
      </w:tr>
    </w:tbl>
    <w:p w14:paraId="02DB5EE9" w14:textId="1A7D2562" w:rsidR="00541641" w:rsidRDefault="009C091D" w:rsidP="00541641">
      <w:pPr>
        <w:pStyle w:val="2"/>
      </w:pPr>
      <w:r w:rsidRPr="009C091D">
        <w:t xml:space="preserve">UE </w:t>
      </w:r>
      <w:r w:rsidR="00F0258A">
        <w:t>C-</w:t>
      </w:r>
      <w:r w:rsidRPr="009C091D">
        <w:t>DRX configuration used upon cell DTX activation</w:t>
      </w:r>
    </w:p>
    <w:p w14:paraId="6961F316" w14:textId="570B846C" w:rsidR="00194C84" w:rsidRDefault="009C091D" w:rsidP="00B3204D">
      <w:pPr>
        <w:spacing w:after="120"/>
        <w:rPr>
          <w:rFonts w:cs="Times New Roman"/>
          <w:szCs w:val="20"/>
        </w:rPr>
      </w:pPr>
      <w:r>
        <w:rPr>
          <w:rFonts w:cs="Times New Roman"/>
          <w:szCs w:val="20"/>
        </w:rPr>
        <w:t xml:space="preserve">With the agreements made for cell DTX so far, we are now able to illustrate an example process of how cell DTX is configured and activated/deactivated </w:t>
      </w:r>
      <w:r w:rsidR="00CB5FF7">
        <w:rPr>
          <w:rFonts w:cs="Times New Roman"/>
          <w:szCs w:val="20"/>
        </w:rPr>
        <w:t xml:space="preserve">from the UE’s perspective </w:t>
      </w:r>
      <w:r>
        <w:rPr>
          <w:rFonts w:cs="Times New Roman"/>
          <w:szCs w:val="20"/>
        </w:rPr>
        <w:t>(since cell DTX and cell DRX can be configured and operated separately, we only mention cell DTX which is related to the UE DRX alignment issue for simplicity)</w:t>
      </w:r>
      <w:r w:rsidR="001237B8">
        <w:rPr>
          <w:rFonts w:cs="Times New Roman"/>
          <w:szCs w:val="20"/>
        </w:rPr>
        <w:t>, a</w:t>
      </w:r>
      <w:r w:rsidR="00F0258A">
        <w:rPr>
          <w:rFonts w:cs="Times New Roman"/>
          <w:szCs w:val="20"/>
        </w:rPr>
        <w:t>s show in Fig. 1</w:t>
      </w:r>
      <w:r>
        <w:rPr>
          <w:rFonts w:cs="Times New Roman"/>
          <w:szCs w:val="20"/>
        </w:rPr>
        <w:t>:</w:t>
      </w:r>
    </w:p>
    <w:p w14:paraId="58CE56AA" w14:textId="7A55118F" w:rsidR="009C091D" w:rsidRPr="00CF02E5" w:rsidRDefault="009C091D" w:rsidP="00CF02E5">
      <w:pPr>
        <w:pStyle w:val="aa"/>
        <w:numPr>
          <w:ilvl w:val="0"/>
          <w:numId w:val="19"/>
        </w:numPr>
        <w:ind w:left="714" w:firstLineChars="0" w:hanging="357"/>
        <w:rPr>
          <w:rFonts w:ascii="Times New Roman" w:hAnsi="Times New Roman"/>
          <w:sz w:val="20"/>
          <w:szCs w:val="20"/>
        </w:rPr>
      </w:pPr>
      <w:r w:rsidRPr="00CF02E5">
        <w:rPr>
          <w:rFonts w:ascii="Times New Roman" w:hAnsi="Times New Roman"/>
          <w:b/>
          <w:sz w:val="20"/>
          <w:szCs w:val="20"/>
        </w:rPr>
        <w:lastRenderedPageBreak/>
        <w:t xml:space="preserve">Step 1: </w:t>
      </w:r>
      <w:r w:rsidRPr="00CF02E5">
        <w:rPr>
          <w:rFonts w:ascii="Times New Roman" w:hAnsi="Times New Roman"/>
          <w:sz w:val="20"/>
          <w:szCs w:val="20"/>
        </w:rPr>
        <w:t>RRC CONNECTED UEs are configured with cell DTX, and cell DTX is implicitly activated upon configuration</w:t>
      </w:r>
      <w:r w:rsidR="004A239E" w:rsidRPr="00CF02E5">
        <w:rPr>
          <w:rFonts w:ascii="Times New Roman" w:hAnsi="Times New Roman"/>
          <w:sz w:val="20"/>
          <w:szCs w:val="20"/>
        </w:rPr>
        <w:t xml:space="preserve"> (as agreed at R2#121bis [4])</w:t>
      </w:r>
      <w:r w:rsidRPr="00CF02E5">
        <w:rPr>
          <w:rFonts w:ascii="Times New Roman" w:hAnsi="Times New Roman"/>
          <w:sz w:val="20"/>
          <w:szCs w:val="20"/>
        </w:rPr>
        <w:t>;</w:t>
      </w:r>
    </w:p>
    <w:p w14:paraId="3CF711CA" w14:textId="77777777" w:rsidR="00CF02E5" w:rsidRPr="00CF02E5" w:rsidRDefault="009C091D" w:rsidP="00CF02E5">
      <w:pPr>
        <w:pStyle w:val="aa"/>
        <w:numPr>
          <w:ilvl w:val="0"/>
          <w:numId w:val="19"/>
        </w:numPr>
        <w:ind w:left="714" w:firstLineChars="0" w:hanging="357"/>
        <w:rPr>
          <w:rFonts w:ascii="Times New Roman" w:hAnsi="Times New Roman"/>
          <w:sz w:val="20"/>
          <w:szCs w:val="20"/>
        </w:rPr>
      </w:pPr>
      <w:r w:rsidRPr="00CF02E5">
        <w:rPr>
          <w:rFonts w:ascii="Times New Roman" w:hAnsi="Times New Roman"/>
          <w:b/>
          <w:sz w:val="20"/>
          <w:szCs w:val="20"/>
        </w:rPr>
        <w:t xml:space="preserve">Step </w:t>
      </w:r>
      <w:r w:rsidR="004A239E" w:rsidRPr="00CF02E5">
        <w:rPr>
          <w:rFonts w:ascii="Times New Roman" w:hAnsi="Times New Roman"/>
          <w:b/>
          <w:sz w:val="20"/>
          <w:szCs w:val="20"/>
        </w:rPr>
        <w:t>2a</w:t>
      </w:r>
      <w:r w:rsidRPr="00CF02E5">
        <w:rPr>
          <w:rFonts w:ascii="Times New Roman" w:hAnsi="Times New Roman"/>
          <w:b/>
          <w:sz w:val="20"/>
          <w:szCs w:val="20"/>
        </w:rPr>
        <w:t xml:space="preserve">: </w:t>
      </w:r>
      <w:r w:rsidR="004A239E" w:rsidRPr="00CF02E5">
        <w:rPr>
          <w:rFonts w:ascii="Times New Roman" w:hAnsi="Times New Roman"/>
          <w:sz w:val="20"/>
          <w:szCs w:val="20"/>
        </w:rPr>
        <w:t xml:space="preserve">If cell DTX configuration is released by </w:t>
      </w:r>
      <w:r w:rsidRPr="00CF02E5">
        <w:rPr>
          <w:rFonts w:ascii="Times New Roman" w:hAnsi="Times New Roman"/>
          <w:sz w:val="20"/>
          <w:szCs w:val="20"/>
        </w:rPr>
        <w:t>RRC</w:t>
      </w:r>
      <w:r w:rsidR="004A239E" w:rsidRPr="00CF02E5">
        <w:rPr>
          <w:rFonts w:ascii="Times New Roman" w:hAnsi="Times New Roman"/>
          <w:sz w:val="20"/>
          <w:szCs w:val="20"/>
        </w:rPr>
        <w:t>,</w:t>
      </w:r>
      <w:r w:rsidRPr="00CF02E5">
        <w:rPr>
          <w:rFonts w:ascii="Times New Roman" w:hAnsi="Times New Roman"/>
          <w:sz w:val="20"/>
          <w:szCs w:val="20"/>
        </w:rPr>
        <w:t xml:space="preserve"> cell DTX</w:t>
      </w:r>
      <w:r w:rsidR="004A239E" w:rsidRPr="00CF02E5">
        <w:rPr>
          <w:rFonts w:ascii="Times New Roman" w:hAnsi="Times New Roman"/>
          <w:sz w:val="20"/>
          <w:szCs w:val="20"/>
        </w:rPr>
        <w:t xml:space="preserve"> is deactivated once the RRC configuration is released</w:t>
      </w:r>
      <w:r w:rsidRPr="00CF02E5">
        <w:rPr>
          <w:rFonts w:ascii="Times New Roman" w:hAnsi="Times New Roman"/>
          <w:sz w:val="20"/>
          <w:szCs w:val="20"/>
        </w:rPr>
        <w:t>;</w:t>
      </w:r>
      <w:r w:rsidR="004A239E" w:rsidRPr="00CF02E5">
        <w:rPr>
          <w:rFonts w:ascii="Times New Roman" w:hAnsi="Times New Roman"/>
          <w:sz w:val="20"/>
          <w:szCs w:val="20"/>
        </w:rPr>
        <w:t xml:space="preserve"> </w:t>
      </w:r>
    </w:p>
    <w:p w14:paraId="1A17D6C6" w14:textId="2C8F8B6B" w:rsidR="004A239E" w:rsidRPr="00CF02E5" w:rsidRDefault="004A239E" w:rsidP="00CF02E5">
      <w:pPr>
        <w:pStyle w:val="aa"/>
        <w:numPr>
          <w:ilvl w:val="0"/>
          <w:numId w:val="19"/>
        </w:numPr>
        <w:ind w:left="714" w:firstLineChars="0" w:hanging="357"/>
        <w:rPr>
          <w:rFonts w:ascii="Times New Roman" w:hAnsi="Times New Roman"/>
          <w:sz w:val="20"/>
          <w:szCs w:val="20"/>
        </w:rPr>
      </w:pPr>
      <w:r w:rsidRPr="00CF02E5">
        <w:rPr>
          <w:rFonts w:ascii="Times New Roman" w:hAnsi="Times New Roman"/>
          <w:b/>
          <w:sz w:val="20"/>
          <w:szCs w:val="20"/>
        </w:rPr>
        <w:t xml:space="preserve">Step 2b: </w:t>
      </w:r>
      <w:r w:rsidRPr="00CF02E5">
        <w:rPr>
          <w:rFonts w:ascii="Times New Roman" w:hAnsi="Times New Roman"/>
          <w:sz w:val="20"/>
          <w:szCs w:val="20"/>
        </w:rPr>
        <w:t>If cell DTX configuration is not released by RRC, cell DTX is deactivated upon reception of L1 deactivation signaling.</w:t>
      </w:r>
    </w:p>
    <w:p w14:paraId="435C7460" w14:textId="55035AAC" w:rsidR="009C091D" w:rsidRDefault="004A239E" w:rsidP="0040243C">
      <w:pPr>
        <w:pStyle w:val="aa"/>
        <w:numPr>
          <w:ilvl w:val="0"/>
          <w:numId w:val="19"/>
        </w:numPr>
        <w:ind w:left="714" w:firstLineChars="0" w:hanging="357"/>
        <w:rPr>
          <w:rFonts w:ascii="Times New Roman" w:hAnsi="Times New Roman"/>
          <w:sz w:val="20"/>
          <w:szCs w:val="20"/>
        </w:rPr>
      </w:pPr>
      <w:r w:rsidRPr="00CF02E5">
        <w:rPr>
          <w:rFonts w:ascii="Times New Roman" w:hAnsi="Times New Roman"/>
          <w:b/>
          <w:sz w:val="20"/>
          <w:szCs w:val="20"/>
        </w:rPr>
        <w:t>Step 3 (after Step 2b):</w:t>
      </w:r>
      <w:r w:rsidRPr="00CF02E5">
        <w:rPr>
          <w:rFonts w:ascii="Times New Roman" w:hAnsi="Times New Roman"/>
          <w:sz w:val="20"/>
          <w:szCs w:val="20"/>
        </w:rPr>
        <w:t xml:space="preserve"> cell DTX is activated again, upon reception of </w:t>
      </w:r>
      <w:r w:rsidR="0040243C">
        <w:rPr>
          <w:rFonts w:ascii="Times New Roman" w:hAnsi="Times New Roman"/>
          <w:sz w:val="20"/>
          <w:szCs w:val="20"/>
        </w:rPr>
        <w:t xml:space="preserve">RRC reconfiguration </w:t>
      </w:r>
      <w:r w:rsidR="00E17B34">
        <w:rPr>
          <w:rFonts w:ascii="Times New Roman" w:hAnsi="Times New Roman"/>
          <w:sz w:val="20"/>
          <w:szCs w:val="20"/>
        </w:rPr>
        <w:t>with</w:t>
      </w:r>
      <w:r w:rsidR="0040243C">
        <w:rPr>
          <w:rFonts w:ascii="Times New Roman" w:hAnsi="Times New Roman"/>
          <w:sz w:val="20"/>
          <w:szCs w:val="20"/>
        </w:rPr>
        <w:t xml:space="preserve"> updated cell DTX configuration, </w:t>
      </w:r>
      <w:r w:rsidRPr="00CF02E5">
        <w:rPr>
          <w:rFonts w:ascii="Times New Roman" w:hAnsi="Times New Roman"/>
          <w:sz w:val="20"/>
          <w:szCs w:val="20"/>
        </w:rPr>
        <w:t>or L1 activation signaling.</w:t>
      </w:r>
    </w:p>
    <w:p w14:paraId="68E1BEF5" w14:textId="115293F7" w:rsidR="00CF02E5" w:rsidRPr="00CF02E5" w:rsidRDefault="00CF02E5" w:rsidP="00CF02E5">
      <w:pPr>
        <w:pStyle w:val="aa"/>
        <w:numPr>
          <w:ilvl w:val="0"/>
          <w:numId w:val="19"/>
        </w:numPr>
        <w:spacing w:after="120"/>
        <w:ind w:firstLineChars="0"/>
        <w:rPr>
          <w:rFonts w:ascii="Times New Roman" w:hAnsi="Times New Roman"/>
          <w:sz w:val="20"/>
          <w:szCs w:val="20"/>
        </w:rPr>
      </w:pPr>
      <w:r>
        <w:rPr>
          <w:rFonts w:ascii="Times New Roman" w:hAnsi="Times New Roman"/>
          <w:b/>
          <w:sz w:val="20"/>
          <w:szCs w:val="20"/>
        </w:rPr>
        <w:t>Step 4 (after Step 3):</w:t>
      </w:r>
      <w:r>
        <w:rPr>
          <w:rFonts w:ascii="Times New Roman" w:hAnsi="Times New Roman"/>
          <w:sz w:val="20"/>
          <w:szCs w:val="20"/>
        </w:rPr>
        <w:t xml:space="preserve"> </w:t>
      </w:r>
      <w:r w:rsidR="0040243C">
        <w:rPr>
          <w:rFonts w:ascii="Times New Roman" w:hAnsi="Times New Roman"/>
          <w:sz w:val="20"/>
          <w:szCs w:val="20"/>
        </w:rPr>
        <w:t>GoTo</w:t>
      </w:r>
      <w:r>
        <w:rPr>
          <w:rFonts w:ascii="Times New Roman" w:hAnsi="Times New Roman"/>
          <w:sz w:val="20"/>
          <w:szCs w:val="20"/>
        </w:rPr>
        <w:t xml:space="preserve"> Step 2a/2b;</w:t>
      </w:r>
    </w:p>
    <w:p w14:paraId="40D9353B" w14:textId="7CBA4F3F" w:rsidR="00E7107A" w:rsidRDefault="005234B1" w:rsidP="005D6D93">
      <w:pPr>
        <w:spacing w:after="120"/>
        <w:jc w:val="center"/>
      </w:pPr>
      <w:r>
        <w:object w:dxaOrig="3636" w:dyaOrig="8496" w14:anchorId="62148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24.5pt" o:ole="">
            <v:imagedata r:id="rId7" o:title=""/>
          </v:shape>
          <o:OLEObject Type="Embed" ProgID="Visio.Drawing.15" ShapeID="_x0000_i1025" DrawAspect="Content" ObjectID="_1753256188" r:id="rId8"/>
        </w:object>
      </w:r>
    </w:p>
    <w:p w14:paraId="33E5007B" w14:textId="69B051BA" w:rsidR="00E7107A" w:rsidRPr="005D6D93" w:rsidRDefault="00E7107A" w:rsidP="005D6D93">
      <w:pPr>
        <w:spacing w:after="120"/>
        <w:jc w:val="center"/>
        <w:rPr>
          <w:rFonts w:cs="Times New Roman"/>
          <w:b/>
          <w:szCs w:val="20"/>
        </w:rPr>
      </w:pPr>
      <w:r w:rsidRPr="005D6D93">
        <w:rPr>
          <w:rFonts w:cs="Times New Roman"/>
          <w:b/>
          <w:szCs w:val="20"/>
        </w:rPr>
        <w:t>Fig. 1: example process of Cell DTX activation/deactivation</w:t>
      </w:r>
    </w:p>
    <w:p w14:paraId="6215B7A6" w14:textId="538F706F" w:rsidR="00CF02E5" w:rsidRDefault="009C6C22" w:rsidP="00B3204D">
      <w:pPr>
        <w:spacing w:after="120"/>
        <w:rPr>
          <w:rFonts w:cs="Times New Roman"/>
          <w:szCs w:val="20"/>
        </w:rPr>
      </w:pPr>
      <w:r>
        <w:rPr>
          <w:rFonts w:cs="Times New Roman"/>
          <w:szCs w:val="20"/>
        </w:rPr>
        <w:t>As mentioned in the background se</w:t>
      </w:r>
      <w:r w:rsidR="00E608A5">
        <w:rPr>
          <w:rFonts w:cs="Times New Roman"/>
          <w:szCs w:val="20"/>
        </w:rPr>
        <w:t xml:space="preserve">ction, RAN1 has agreed on support of </w:t>
      </w:r>
      <w:r w:rsidR="00E608A5" w:rsidRPr="00E608A5">
        <w:rPr>
          <w:rFonts w:cs="Times New Roman"/>
          <w:szCs w:val="20"/>
        </w:rPr>
        <w:t>group common L1 signaling</w:t>
      </w:r>
      <w:r w:rsidR="00E608A5">
        <w:rPr>
          <w:rFonts w:cs="Times New Roman"/>
          <w:szCs w:val="20"/>
        </w:rPr>
        <w:t xml:space="preserve"> for </w:t>
      </w:r>
      <w:r w:rsidR="00E608A5" w:rsidRPr="00E608A5">
        <w:rPr>
          <w:rFonts w:cs="Times New Roman"/>
          <w:szCs w:val="20"/>
        </w:rPr>
        <w:t>cell DTX/DRX activation and deactivation</w:t>
      </w:r>
      <w:r w:rsidR="00E608A5">
        <w:rPr>
          <w:rFonts w:cs="Times New Roman"/>
          <w:szCs w:val="20"/>
        </w:rPr>
        <w:t>, with the benefit of saving signalling overhead caused by multiple</w:t>
      </w:r>
      <w:r w:rsidR="00E608A5" w:rsidRPr="00E608A5">
        <w:t xml:space="preserve"> </w:t>
      </w:r>
      <w:r w:rsidR="00E608A5" w:rsidRPr="009F7FA4">
        <w:t>dedicated RRC messages</w:t>
      </w:r>
      <w:r w:rsidR="00E608A5">
        <w:t xml:space="preserve">, i.e. the gNB does not have to reconfigure the cell DTX configuration of the UEs one by one for </w:t>
      </w:r>
      <w:r w:rsidR="00E608A5" w:rsidRPr="00E608A5">
        <w:rPr>
          <w:rFonts w:cs="Times New Roman"/>
          <w:szCs w:val="20"/>
        </w:rPr>
        <w:t>cell DTX/DRX activation and deactivation</w:t>
      </w:r>
      <w:r w:rsidR="00E608A5">
        <w:rPr>
          <w:rFonts w:cs="Times New Roman"/>
          <w:szCs w:val="20"/>
        </w:rPr>
        <w:t>.</w:t>
      </w:r>
    </w:p>
    <w:p w14:paraId="36C476D0" w14:textId="2A810CAC" w:rsidR="00E608A5" w:rsidRPr="00E608A5" w:rsidRDefault="00E608A5" w:rsidP="00B3204D">
      <w:pPr>
        <w:spacing w:after="120"/>
        <w:rPr>
          <w:b/>
        </w:rPr>
      </w:pPr>
      <w:r w:rsidRPr="00E608A5">
        <w:rPr>
          <w:rFonts w:cs="Times New Roman"/>
          <w:b/>
          <w:szCs w:val="20"/>
        </w:rPr>
        <w:t>Observation 1: Support of group common L1 signaling for cell DTX/DRX activation and deactivation is beneficial for reducing signalling overhead caused by multiple</w:t>
      </w:r>
      <w:r w:rsidRPr="00E608A5">
        <w:rPr>
          <w:b/>
        </w:rPr>
        <w:t xml:space="preserve"> dedicated RRC messages</w:t>
      </w:r>
      <w:r>
        <w:rPr>
          <w:b/>
        </w:rPr>
        <w:t xml:space="preserve"> for </w:t>
      </w:r>
      <w:r w:rsidRPr="00E608A5">
        <w:rPr>
          <w:rFonts w:cs="Times New Roman"/>
          <w:b/>
          <w:szCs w:val="20"/>
        </w:rPr>
        <w:t xml:space="preserve">cell DTX/DRX activation and </w:t>
      </w:r>
      <w:r w:rsidRPr="00E608A5">
        <w:rPr>
          <w:rFonts w:cs="Times New Roman"/>
          <w:b/>
          <w:szCs w:val="20"/>
        </w:rPr>
        <w:lastRenderedPageBreak/>
        <w:t>deactivation</w:t>
      </w:r>
      <w:r w:rsidRPr="00E608A5">
        <w:rPr>
          <w:b/>
        </w:rPr>
        <w:t>.</w:t>
      </w:r>
    </w:p>
    <w:p w14:paraId="50A5D6CE" w14:textId="127F3121" w:rsidR="00E608A5" w:rsidRDefault="00E608A5" w:rsidP="00B3204D">
      <w:pPr>
        <w:spacing w:after="120"/>
        <w:rPr>
          <w:rFonts w:cs="Times New Roman"/>
          <w:szCs w:val="20"/>
        </w:rPr>
      </w:pPr>
      <w:r>
        <w:rPr>
          <w:rFonts w:cs="Times New Roman"/>
          <w:szCs w:val="20"/>
        </w:rPr>
        <w:t xml:space="preserve">After the last RAN2 meeting, the Rapporteur organized a post-meeting email for discussion </w:t>
      </w:r>
      <w:r w:rsidR="00414D7D">
        <w:rPr>
          <w:rFonts w:cs="Times New Roman"/>
          <w:szCs w:val="20"/>
        </w:rPr>
        <w:t xml:space="preserve">on several issues of cell DTX/DRX [5]. For the discussion of UE DRX alignment issue, we observe from the comments that the majority companies prefer to respect the agreement made during the SI phase that it is beneficial to align UE DRX with cell DTX. Meanwhile, the Rapporteur pointed out the </w:t>
      </w:r>
      <w:r w:rsidR="00414D7D" w:rsidRPr="00414D7D">
        <w:rPr>
          <w:rFonts w:cs="Times New Roman"/>
          <w:szCs w:val="20"/>
        </w:rPr>
        <w:t>existing mechanism is to reconfigure C-DRX of UEs by UE-specific RRC messages</w:t>
      </w:r>
      <w:r w:rsidR="00414D7D">
        <w:rPr>
          <w:rFonts w:cs="Times New Roman"/>
          <w:szCs w:val="20"/>
        </w:rPr>
        <w:t xml:space="preserve">, and this </w:t>
      </w:r>
      <w:r w:rsidR="00414D7D" w:rsidRPr="00414D7D">
        <w:rPr>
          <w:rFonts w:cs="Times New Roman"/>
          <w:szCs w:val="20"/>
        </w:rPr>
        <w:t>procedure may cause high signalling overhead when cell DTX is activated/deactivated</w:t>
      </w:r>
      <w:r w:rsidR="00414D7D">
        <w:rPr>
          <w:rFonts w:cs="Times New Roman"/>
          <w:szCs w:val="20"/>
        </w:rPr>
        <w:t xml:space="preserve">. </w:t>
      </w:r>
      <w:r w:rsidR="00433688">
        <w:rPr>
          <w:rFonts w:hint="eastAsia"/>
        </w:rPr>
        <w:t>B</w:t>
      </w:r>
      <w:r w:rsidR="00433688">
        <w:t xml:space="preserve">esides, the signaling delay is much larger than L1 signaling for cell DTX activation/deactivation. </w:t>
      </w:r>
      <w:r w:rsidR="00414D7D">
        <w:rPr>
          <w:rFonts w:cs="Times New Roman"/>
          <w:szCs w:val="20"/>
        </w:rPr>
        <w:t xml:space="preserve">Therefore, how to efficiently change the C-DRX of multiple UEs should be discussed by RAN2. </w:t>
      </w:r>
    </w:p>
    <w:p w14:paraId="5C896D24" w14:textId="0B6CD014" w:rsidR="00414D7D" w:rsidRPr="00E608A5" w:rsidRDefault="00414D7D" w:rsidP="00414D7D">
      <w:pPr>
        <w:spacing w:after="120"/>
        <w:rPr>
          <w:b/>
        </w:rPr>
      </w:pPr>
      <w:r w:rsidRPr="00E608A5">
        <w:rPr>
          <w:rFonts w:cs="Times New Roman"/>
          <w:b/>
          <w:szCs w:val="20"/>
        </w:rPr>
        <w:t xml:space="preserve">Observation </w:t>
      </w:r>
      <w:r>
        <w:rPr>
          <w:rFonts w:cs="Times New Roman"/>
          <w:b/>
          <w:szCs w:val="20"/>
        </w:rPr>
        <w:t>2</w:t>
      </w:r>
      <w:r w:rsidRPr="00E608A5">
        <w:rPr>
          <w:rFonts w:cs="Times New Roman"/>
          <w:b/>
          <w:szCs w:val="20"/>
        </w:rPr>
        <w:t xml:space="preserve">: </w:t>
      </w:r>
      <w:r>
        <w:rPr>
          <w:rFonts w:cs="Times New Roman"/>
          <w:b/>
          <w:szCs w:val="20"/>
        </w:rPr>
        <w:t xml:space="preserve">To change the C-DRX of multiple UEs when cell DTX is activated/deactivated, the </w:t>
      </w:r>
      <w:r w:rsidR="00027E49">
        <w:rPr>
          <w:rFonts w:cs="Times New Roman"/>
          <w:b/>
          <w:szCs w:val="20"/>
        </w:rPr>
        <w:t>legacy</w:t>
      </w:r>
      <w:r w:rsidRPr="00414D7D">
        <w:rPr>
          <w:rFonts w:cs="Times New Roman"/>
          <w:b/>
          <w:szCs w:val="20"/>
        </w:rPr>
        <w:t xml:space="preserve"> mechanism</w:t>
      </w:r>
      <w:r>
        <w:rPr>
          <w:rFonts w:cs="Times New Roman"/>
          <w:b/>
          <w:szCs w:val="20"/>
        </w:rPr>
        <w:t xml:space="preserve"> of </w:t>
      </w:r>
      <w:r w:rsidRPr="00414D7D">
        <w:rPr>
          <w:rFonts w:cs="Times New Roman"/>
          <w:b/>
          <w:szCs w:val="20"/>
        </w:rPr>
        <w:t>reconfigur</w:t>
      </w:r>
      <w:r>
        <w:rPr>
          <w:rFonts w:cs="Times New Roman"/>
          <w:b/>
          <w:szCs w:val="20"/>
        </w:rPr>
        <w:t>ing</w:t>
      </w:r>
      <w:r w:rsidRPr="00414D7D">
        <w:rPr>
          <w:rFonts w:cs="Times New Roman"/>
          <w:b/>
          <w:szCs w:val="20"/>
        </w:rPr>
        <w:t xml:space="preserve"> C-DRX of UEs by UE-specific RRC messages</w:t>
      </w:r>
      <w:r>
        <w:rPr>
          <w:rFonts w:cs="Times New Roman"/>
          <w:b/>
          <w:szCs w:val="20"/>
        </w:rPr>
        <w:t xml:space="preserve"> causes high signalling overhead</w:t>
      </w:r>
      <w:r w:rsidR="00433688">
        <w:rPr>
          <w:rFonts w:cs="Times New Roman"/>
          <w:b/>
          <w:szCs w:val="20"/>
        </w:rPr>
        <w:t xml:space="preserve"> and </w:t>
      </w:r>
      <w:r w:rsidR="00433688" w:rsidRPr="00433688">
        <w:rPr>
          <w:rFonts w:cs="Times New Roman"/>
          <w:b/>
          <w:szCs w:val="20"/>
        </w:rPr>
        <w:t>larger signaling delay than L1 signaling for cell DTX activation/deactivation</w:t>
      </w:r>
      <w:r w:rsidR="00BC338D">
        <w:rPr>
          <w:rFonts w:cs="Times New Roman"/>
          <w:b/>
          <w:szCs w:val="20"/>
        </w:rPr>
        <w:t xml:space="preserve">, which weakens the </w:t>
      </w:r>
      <w:r w:rsidR="002D236C">
        <w:rPr>
          <w:rFonts w:cs="Times New Roman"/>
          <w:b/>
          <w:szCs w:val="20"/>
        </w:rPr>
        <w:t>benefit from</w:t>
      </w:r>
      <w:r w:rsidR="00BC338D">
        <w:rPr>
          <w:rFonts w:cs="Times New Roman"/>
          <w:b/>
          <w:szCs w:val="20"/>
        </w:rPr>
        <w:t xml:space="preserve"> introducing group common L1 signaling for cell </w:t>
      </w:r>
      <w:r w:rsidR="00BC338D" w:rsidRPr="00433688">
        <w:rPr>
          <w:rFonts w:cs="Times New Roman"/>
          <w:b/>
          <w:szCs w:val="20"/>
        </w:rPr>
        <w:t>DTX activation/deactivation</w:t>
      </w:r>
      <w:r>
        <w:rPr>
          <w:rFonts w:cs="Times New Roman"/>
          <w:b/>
          <w:szCs w:val="20"/>
        </w:rPr>
        <w:t>.</w:t>
      </w:r>
    </w:p>
    <w:p w14:paraId="49723778" w14:textId="348C819A" w:rsidR="00E608A5" w:rsidRDefault="00975746" w:rsidP="00B3204D">
      <w:pPr>
        <w:spacing w:after="120"/>
        <w:rPr>
          <w:rFonts w:cs="Times New Roman"/>
          <w:szCs w:val="20"/>
        </w:rPr>
      </w:pPr>
      <w:r>
        <w:rPr>
          <w:rFonts w:cs="Times New Roman"/>
          <w:szCs w:val="20"/>
        </w:rPr>
        <w:t xml:space="preserve">A simple solution for reducing C-DRX reconfiguration signalling overhead is that the gNB configures </w:t>
      </w:r>
      <w:r w:rsidR="002D236C">
        <w:rPr>
          <w:rFonts w:cs="Times New Roman"/>
          <w:szCs w:val="20"/>
        </w:rPr>
        <w:t xml:space="preserve">an additional </w:t>
      </w:r>
      <w:r>
        <w:rPr>
          <w:rFonts w:cs="Times New Roman"/>
          <w:szCs w:val="20"/>
        </w:rPr>
        <w:t>C-DRX configuration containing the C-DRX parameters used upon cell DTX activation for the UE along with the cell DTX configuration. In this way, the gNB can avoid reconfiguring the UE C-DRX every time when cell DTX is activated/deactivated. This solution is consistent with the motivation of introducing group common L1 signalling for reducing signalling overhead.</w:t>
      </w:r>
    </w:p>
    <w:p w14:paraId="46529747" w14:textId="0D54B6C8" w:rsidR="00540881" w:rsidRPr="00275729" w:rsidRDefault="00540881" w:rsidP="00B3204D">
      <w:pPr>
        <w:spacing w:after="120"/>
        <w:rPr>
          <w:rFonts w:cs="Times New Roman"/>
          <w:b/>
          <w:szCs w:val="20"/>
        </w:rPr>
      </w:pPr>
      <w:r w:rsidRPr="00275729">
        <w:rPr>
          <w:rFonts w:cs="Times New Roman"/>
          <w:b/>
          <w:szCs w:val="20"/>
        </w:rPr>
        <w:t xml:space="preserve">Observation 3: </w:t>
      </w:r>
      <w:r w:rsidR="00275729">
        <w:rPr>
          <w:rFonts w:cs="Times New Roman"/>
          <w:b/>
          <w:szCs w:val="20"/>
        </w:rPr>
        <w:t>With</w:t>
      </w:r>
      <w:r w:rsidRPr="00275729">
        <w:rPr>
          <w:rFonts w:cs="Times New Roman"/>
          <w:b/>
          <w:szCs w:val="20"/>
        </w:rPr>
        <w:t xml:space="preserve"> </w:t>
      </w:r>
      <w:r w:rsidR="002D236C">
        <w:rPr>
          <w:rFonts w:cs="Times New Roman"/>
          <w:b/>
          <w:szCs w:val="20"/>
        </w:rPr>
        <w:t xml:space="preserve">an additional </w:t>
      </w:r>
      <w:r w:rsidRPr="00275729">
        <w:rPr>
          <w:rFonts w:cs="Times New Roman"/>
          <w:b/>
          <w:szCs w:val="20"/>
        </w:rPr>
        <w:t>C-DRX configuration used upon cell DTX activation</w:t>
      </w:r>
      <w:r w:rsidR="00275729" w:rsidRPr="00275729">
        <w:rPr>
          <w:rFonts w:cs="Times New Roman"/>
          <w:b/>
          <w:szCs w:val="20"/>
        </w:rPr>
        <w:t xml:space="preserve"> </w:t>
      </w:r>
      <w:r w:rsidR="002D236C">
        <w:rPr>
          <w:rFonts w:cs="Times New Roman"/>
          <w:b/>
          <w:szCs w:val="20"/>
        </w:rPr>
        <w:t>configured together</w:t>
      </w:r>
      <w:r w:rsidR="002D236C" w:rsidRPr="00275729">
        <w:rPr>
          <w:rFonts w:cs="Times New Roman"/>
          <w:b/>
          <w:szCs w:val="20"/>
        </w:rPr>
        <w:t xml:space="preserve"> </w:t>
      </w:r>
      <w:r w:rsidR="00275729" w:rsidRPr="00275729">
        <w:rPr>
          <w:rFonts w:cs="Times New Roman"/>
          <w:b/>
          <w:szCs w:val="20"/>
        </w:rPr>
        <w:t>with cell DTX configuration</w:t>
      </w:r>
      <w:r w:rsidRPr="00275729">
        <w:rPr>
          <w:rFonts w:cs="Times New Roman"/>
          <w:b/>
          <w:szCs w:val="20"/>
        </w:rPr>
        <w:t>, the gNB can reduce</w:t>
      </w:r>
      <w:r w:rsidR="00275729" w:rsidRPr="00275729">
        <w:rPr>
          <w:rFonts w:cs="Times New Roman"/>
          <w:b/>
          <w:szCs w:val="20"/>
        </w:rPr>
        <w:t xml:space="preserve"> signalling overhead </w:t>
      </w:r>
      <w:r w:rsidR="00433688">
        <w:rPr>
          <w:rFonts w:cs="Times New Roman"/>
          <w:b/>
          <w:szCs w:val="20"/>
        </w:rPr>
        <w:t xml:space="preserve">and latency </w:t>
      </w:r>
      <w:r w:rsidR="00275729" w:rsidRPr="00275729">
        <w:rPr>
          <w:rFonts w:cs="Times New Roman"/>
          <w:b/>
          <w:szCs w:val="20"/>
        </w:rPr>
        <w:t>cause</w:t>
      </w:r>
      <w:r w:rsidR="00275729">
        <w:rPr>
          <w:rFonts w:cs="Times New Roman"/>
          <w:b/>
          <w:szCs w:val="20"/>
        </w:rPr>
        <w:t>d</w:t>
      </w:r>
      <w:r w:rsidR="00275729" w:rsidRPr="00275729">
        <w:rPr>
          <w:rFonts w:cs="Times New Roman"/>
          <w:b/>
          <w:szCs w:val="20"/>
        </w:rPr>
        <w:t xml:space="preserve"> by multiple RRC reconfiguration messages for aligning UE C-DRX with cell DTX.</w:t>
      </w:r>
    </w:p>
    <w:p w14:paraId="2F6AA662" w14:textId="4C041C46" w:rsidR="000E4A94" w:rsidRDefault="00975746" w:rsidP="00B3204D">
      <w:pPr>
        <w:spacing w:after="120"/>
      </w:pPr>
      <w:r>
        <w:rPr>
          <w:rFonts w:cs="Times New Roman"/>
          <w:szCs w:val="20"/>
        </w:rPr>
        <w:t xml:space="preserve">The existing UE C-DRX configuration is shown in Annex 5.1 [5]. Apart from </w:t>
      </w:r>
      <w:r w:rsidRPr="00975746">
        <w:rPr>
          <w:i/>
        </w:rPr>
        <w:t>shortDRX</w:t>
      </w:r>
      <w:r>
        <w:t xml:space="preserve">, all the other C-DRX parameter fields are mandatory </w:t>
      </w:r>
      <w:r w:rsidR="00F06FA4">
        <w:t xml:space="preserve">in </w:t>
      </w:r>
      <w:r>
        <w:t xml:space="preserve">the existing C-DRX configuration. </w:t>
      </w:r>
      <w:r w:rsidR="00CE3C21">
        <w:t>However</w:t>
      </w:r>
      <w:r>
        <w:t xml:space="preserve">, </w:t>
      </w:r>
      <w:r w:rsidR="00CE3C21">
        <w:t xml:space="preserve">for the purpose of aligning C-DRX with cell DTX, </w:t>
      </w:r>
      <w:r w:rsidR="001F3D41">
        <w:rPr>
          <w:rFonts w:hint="eastAsia"/>
        </w:rPr>
        <w:t>some</w:t>
      </w:r>
      <w:r w:rsidR="001F3D41">
        <w:t xml:space="preserve"> companies point out that </w:t>
      </w:r>
      <w:r>
        <w:t xml:space="preserve">the NW does not </w:t>
      </w:r>
      <w:r w:rsidR="002D236C">
        <w:t xml:space="preserve">always </w:t>
      </w:r>
      <w:r>
        <w:t xml:space="preserve">need to </w:t>
      </w:r>
      <w:r w:rsidR="002D236C">
        <w:t>re</w:t>
      </w:r>
      <w:r w:rsidR="00CE3C21">
        <w:t>configure all the mandat</w:t>
      </w:r>
      <w:r w:rsidR="00EA306D">
        <w:t>o</w:t>
      </w:r>
      <w:r w:rsidR="00CE3C21">
        <w:t xml:space="preserve">ry C-DRX parameters in the legacy DRX-config, unless it wants to change those parameters, i.e. </w:t>
      </w:r>
      <w:r w:rsidR="000E4A94">
        <w:t>the mandat</w:t>
      </w:r>
      <w:r w:rsidR="00EA306D">
        <w:t>o</w:t>
      </w:r>
      <w:r w:rsidR="000E4A94">
        <w:t xml:space="preserve">ry parameter fields in legacy C-DRX configuration can be optional in the </w:t>
      </w:r>
      <w:r w:rsidR="002D236C">
        <w:t xml:space="preserve">additional </w:t>
      </w:r>
      <w:r w:rsidR="000E4A94">
        <w:t>C-DRX configuration used upon cell DTX activation</w:t>
      </w:r>
      <w:r w:rsidR="00CE3C21">
        <w:t xml:space="preserve">. </w:t>
      </w:r>
      <w:r w:rsidR="000E4A94">
        <w:t>For instance, if the gNB only wants to change the C-DRX startOffset of a UE, the C-DRX configuration used upon cell DTX activation can include only the C-DRX startOffset.</w:t>
      </w:r>
    </w:p>
    <w:p w14:paraId="12934F54" w14:textId="43D9C26C" w:rsidR="00E17311" w:rsidRDefault="00E17311" w:rsidP="00B3204D">
      <w:pPr>
        <w:spacing w:after="120"/>
      </w:pPr>
      <w:r w:rsidRPr="005D6D93">
        <w:rPr>
          <w:b/>
        </w:rPr>
        <w:t xml:space="preserve">Observation 4: </w:t>
      </w:r>
      <w:r w:rsidRPr="00E17311">
        <w:rPr>
          <w:rFonts w:cs="Times New Roman"/>
          <w:b/>
          <w:szCs w:val="20"/>
        </w:rPr>
        <w:t>For alignment between UE C-DRX and cell DTX, the gNB does not always need to reconfigure all</w:t>
      </w:r>
      <w:r>
        <w:rPr>
          <w:rFonts w:cs="Times New Roman"/>
          <w:b/>
          <w:szCs w:val="20"/>
        </w:rPr>
        <w:t xml:space="preserve"> the C-DRX pa</w:t>
      </w:r>
      <w:r w:rsidR="005234B1">
        <w:rPr>
          <w:rFonts w:cs="Times New Roman" w:hint="eastAsia"/>
          <w:b/>
          <w:szCs w:val="20"/>
        </w:rPr>
        <w:t>r</w:t>
      </w:r>
      <w:r>
        <w:rPr>
          <w:rFonts w:cs="Times New Roman"/>
          <w:b/>
          <w:szCs w:val="20"/>
        </w:rPr>
        <w:t>ameters.</w:t>
      </w:r>
    </w:p>
    <w:p w14:paraId="6A491FDB" w14:textId="54BD8511" w:rsidR="000E4A94" w:rsidRDefault="000E4A94" w:rsidP="00B3204D">
      <w:pPr>
        <w:spacing w:after="120"/>
      </w:pPr>
      <w:r>
        <w:t xml:space="preserve">Some companies also comment that if C-DRX </w:t>
      </w:r>
      <w:r w:rsidR="002D236C">
        <w:t xml:space="preserve">of a UE </w:t>
      </w:r>
      <w:r>
        <w:t xml:space="preserve">is already aligned with the to-be-activated cell DTX, the NW can avoid to reconfigure C-DRX for such UE, which is also true. Therefore, the IE of </w:t>
      </w:r>
      <w:r w:rsidR="002D236C">
        <w:t xml:space="preserve">the additional </w:t>
      </w:r>
      <w:r>
        <w:t>C-DRX</w:t>
      </w:r>
      <w:r w:rsidRPr="000E4A94">
        <w:rPr>
          <w:rFonts w:cs="Times New Roman"/>
          <w:szCs w:val="20"/>
        </w:rPr>
        <w:t xml:space="preserve"> </w:t>
      </w:r>
      <w:r>
        <w:rPr>
          <w:rFonts w:cs="Times New Roman"/>
          <w:szCs w:val="20"/>
        </w:rPr>
        <w:t>configuration</w:t>
      </w:r>
      <w:r w:rsidRPr="000E4A94">
        <w:t xml:space="preserve"> </w:t>
      </w:r>
      <w:r>
        <w:t>used upon cell DTX activation can also be optional.</w:t>
      </w:r>
    </w:p>
    <w:p w14:paraId="4C928789" w14:textId="01F67339" w:rsidR="00CE3C21" w:rsidRDefault="000E4A94" w:rsidP="00B3204D">
      <w:pPr>
        <w:spacing w:after="120"/>
        <w:rPr>
          <w:rFonts w:cs="Times New Roman"/>
          <w:szCs w:val="20"/>
        </w:rPr>
      </w:pPr>
      <w:r>
        <w:rPr>
          <w:rFonts w:cs="Times New Roman"/>
          <w:szCs w:val="20"/>
        </w:rPr>
        <w:t xml:space="preserve">In conclusion, we propose that for alignment between UE C-DRX and cell DTX, the gNB can configure </w:t>
      </w:r>
      <w:r w:rsidR="002D236C">
        <w:rPr>
          <w:rFonts w:cs="Times New Roman"/>
          <w:szCs w:val="20"/>
        </w:rPr>
        <w:t xml:space="preserve">an additional </w:t>
      </w:r>
      <w:r>
        <w:rPr>
          <w:rFonts w:cs="Times New Roman"/>
          <w:szCs w:val="20"/>
        </w:rPr>
        <w:t>UE C-DRX configuration used upon cell DTX activation</w:t>
      </w:r>
      <w:r w:rsidR="002D236C">
        <w:rPr>
          <w:rFonts w:cs="Times New Roman"/>
          <w:szCs w:val="20"/>
        </w:rPr>
        <w:t xml:space="preserve"> together with cell DTX/DRX parameters</w:t>
      </w:r>
      <w:r>
        <w:rPr>
          <w:rFonts w:cs="Times New Roman"/>
          <w:szCs w:val="20"/>
        </w:rPr>
        <w:t xml:space="preserve">, </w:t>
      </w:r>
      <w:r w:rsidR="002D236C">
        <w:rPr>
          <w:rFonts w:cs="Times New Roman"/>
          <w:szCs w:val="20"/>
        </w:rPr>
        <w:t xml:space="preserve">which </w:t>
      </w:r>
      <w:r w:rsidR="00540881">
        <w:rPr>
          <w:rFonts w:cs="Times New Roman"/>
          <w:szCs w:val="20"/>
        </w:rPr>
        <w:t>contain</w:t>
      </w:r>
      <w:r w:rsidR="002D236C">
        <w:rPr>
          <w:rFonts w:cs="Times New Roman"/>
          <w:szCs w:val="20"/>
        </w:rPr>
        <w:t>s</w:t>
      </w:r>
      <w:r>
        <w:rPr>
          <w:rFonts w:cs="Times New Roman"/>
          <w:szCs w:val="20"/>
        </w:rPr>
        <w:t xml:space="preserve"> optional C-DRX parameters </w:t>
      </w:r>
      <w:r w:rsidR="002D236C">
        <w:rPr>
          <w:rFonts w:cs="Times New Roman"/>
          <w:szCs w:val="20"/>
        </w:rPr>
        <w:t xml:space="preserve">that </w:t>
      </w:r>
      <w:r w:rsidR="00540881">
        <w:rPr>
          <w:rFonts w:cs="Times New Roman"/>
          <w:szCs w:val="20"/>
        </w:rPr>
        <w:t xml:space="preserve">the </w:t>
      </w:r>
      <w:r w:rsidR="002D236C">
        <w:rPr>
          <w:rFonts w:cs="Times New Roman"/>
          <w:szCs w:val="20"/>
        </w:rPr>
        <w:t>UE shall use</w:t>
      </w:r>
      <w:r w:rsidR="00540881">
        <w:rPr>
          <w:rFonts w:cs="Times New Roman"/>
          <w:szCs w:val="20"/>
        </w:rPr>
        <w:t xml:space="preserve"> when cell DTX is activated.</w:t>
      </w:r>
    </w:p>
    <w:p w14:paraId="42BC500A" w14:textId="10DAE23C" w:rsidR="00B3204D" w:rsidRDefault="00540881" w:rsidP="00B3204D">
      <w:pPr>
        <w:spacing w:after="120"/>
        <w:rPr>
          <w:rFonts w:cs="Times New Roman"/>
          <w:b/>
          <w:szCs w:val="20"/>
        </w:rPr>
      </w:pPr>
      <w:r w:rsidRPr="00540881">
        <w:rPr>
          <w:rFonts w:cs="Times New Roman"/>
          <w:b/>
          <w:szCs w:val="20"/>
        </w:rPr>
        <w:t xml:space="preserve">Proposal 1: For alignment between UE C-DRX and cell DTX, the gNB can configure </w:t>
      </w:r>
      <w:r w:rsidR="004B7394">
        <w:rPr>
          <w:rFonts w:cs="Times New Roman"/>
          <w:b/>
          <w:szCs w:val="20"/>
        </w:rPr>
        <w:t xml:space="preserve">an additional </w:t>
      </w:r>
      <w:r w:rsidRPr="00540881">
        <w:rPr>
          <w:rFonts w:cs="Times New Roman"/>
          <w:b/>
          <w:szCs w:val="20"/>
        </w:rPr>
        <w:t xml:space="preserve">UE C-DRX configuration </w:t>
      </w:r>
      <w:r w:rsidR="003F7E10">
        <w:rPr>
          <w:rFonts w:cs="Times New Roman"/>
          <w:b/>
          <w:szCs w:val="20"/>
        </w:rPr>
        <w:t>together with cell DTX/DRX parameters, which is enabled implicitly</w:t>
      </w:r>
      <w:r w:rsidRPr="00540881">
        <w:rPr>
          <w:rFonts w:cs="Times New Roman"/>
          <w:b/>
          <w:szCs w:val="20"/>
        </w:rPr>
        <w:t xml:space="preserve"> upon cell DTX activation</w:t>
      </w:r>
      <w:r w:rsidR="003F7E10">
        <w:rPr>
          <w:rFonts w:cs="Times New Roman"/>
          <w:b/>
          <w:szCs w:val="20"/>
        </w:rPr>
        <w:t>.</w:t>
      </w:r>
      <w:r w:rsidRPr="00540881">
        <w:rPr>
          <w:rFonts w:cs="Times New Roman"/>
          <w:b/>
          <w:szCs w:val="20"/>
        </w:rPr>
        <w:t xml:space="preserve"> </w:t>
      </w:r>
      <w:r w:rsidR="003F7E10">
        <w:rPr>
          <w:rFonts w:cs="Times New Roman"/>
          <w:b/>
          <w:szCs w:val="20"/>
        </w:rPr>
        <w:t xml:space="preserve">The </w:t>
      </w:r>
      <w:r w:rsidR="004B7394">
        <w:rPr>
          <w:rFonts w:cs="Times New Roman"/>
          <w:b/>
          <w:szCs w:val="20"/>
        </w:rPr>
        <w:t>additional</w:t>
      </w:r>
      <w:r w:rsidR="003F7E10">
        <w:rPr>
          <w:rFonts w:cs="Times New Roman"/>
          <w:b/>
          <w:szCs w:val="20"/>
        </w:rPr>
        <w:t xml:space="preserve"> C-DRX configuration </w:t>
      </w:r>
      <w:r w:rsidRPr="00540881">
        <w:rPr>
          <w:rFonts w:cs="Times New Roman"/>
          <w:b/>
          <w:szCs w:val="20"/>
        </w:rPr>
        <w:t>contain</w:t>
      </w:r>
      <w:r w:rsidR="003F7E10">
        <w:rPr>
          <w:rFonts w:cs="Times New Roman"/>
          <w:b/>
          <w:szCs w:val="20"/>
        </w:rPr>
        <w:t>s</w:t>
      </w:r>
      <w:r w:rsidRPr="00540881">
        <w:rPr>
          <w:rFonts w:cs="Times New Roman"/>
          <w:b/>
          <w:szCs w:val="20"/>
        </w:rPr>
        <w:t xml:space="preserve"> optional C-DRX parameters which the </w:t>
      </w:r>
      <w:r w:rsidR="003F7E10">
        <w:rPr>
          <w:rFonts w:cs="Times New Roman"/>
          <w:b/>
          <w:szCs w:val="20"/>
        </w:rPr>
        <w:t>UE shall use</w:t>
      </w:r>
      <w:r w:rsidRPr="00540881">
        <w:rPr>
          <w:rFonts w:cs="Times New Roman"/>
          <w:b/>
          <w:szCs w:val="20"/>
        </w:rPr>
        <w:t xml:space="preserve"> when cell DTX is activated.</w:t>
      </w:r>
      <w:bookmarkStart w:id="8" w:name="_Hlk92538289"/>
    </w:p>
    <w:bookmarkEnd w:id="8"/>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lastRenderedPageBreak/>
        <w:t>Conclusion</w:t>
      </w:r>
    </w:p>
    <w:p w14:paraId="2CA5C5B5" w14:textId="3C52C3BF" w:rsidR="00541641" w:rsidRDefault="00541641" w:rsidP="00541641">
      <w:pPr>
        <w:pStyle w:val="a8"/>
        <w:rPr>
          <w:rFonts w:eastAsia="宋体"/>
          <w:lang w:eastAsia="zh-CN"/>
        </w:rPr>
      </w:pPr>
      <w:r>
        <w:rPr>
          <w:rFonts w:eastAsia="宋体"/>
          <w:lang w:eastAsia="zh-CN"/>
        </w:rPr>
        <w:t>Based on the discussion, we have the following observation</w:t>
      </w:r>
      <w:r w:rsidR="00E17311">
        <w:rPr>
          <w:rFonts w:eastAsia="宋体"/>
          <w:lang w:eastAsia="zh-CN"/>
        </w:rPr>
        <w:t>s</w:t>
      </w:r>
      <w:r>
        <w:rPr>
          <w:rFonts w:eastAsia="宋体"/>
          <w:lang w:eastAsia="zh-CN"/>
        </w:rPr>
        <w:t xml:space="preserve"> and proposal:</w:t>
      </w:r>
    </w:p>
    <w:p w14:paraId="0B076568" w14:textId="77777777" w:rsidR="00466687" w:rsidRPr="00E608A5" w:rsidRDefault="00466687" w:rsidP="00466687">
      <w:pPr>
        <w:spacing w:after="120"/>
        <w:rPr>
          <w:b/>
        </w:rPr>
      </w:pPr>
      <w:r w:rsidRPr="00E608A5">
        <w:rPr>
          <w:rFonts w:cs="Times New Roman"/>
          <w:b/>
          <w:szCs w:val="20"/>
        </w:rPr>
        <w:t>Observation 1: Support of group common L1 signaling for cell DTX/DRX activation and deactivation is beneficial for reducing signalling overhead caused by multiple</w:t>
      </w:r>
      <w:r w:rsidRPr="00E608A5">
        <w:rPr>
          <w:b/>
        </w:rPr>
        <w:t xml:space="preserve"> dedicated RRC messages</w:t>
      </w:r>
      <w:r>
        <w:rPr>
          <w:b/>
        </w:rPr>
        <w:t xml:space="preserve"> for </w:t>
      </w:r>
      <w:r w:rsidRPr="00E608A5">
        <w:rPr>
          <w:rFonts w:cs="Times New Roman"/>
          <w:b/>
          <w:szCs w:val="20"/>
        </w:rPr>
        <w:t>cell DTX/DRX activation and deactivation</w:t>
      </w:r>
      <w:r w:rsidRPr="00E608A5">
        <w:rPr>
          <w:b/>
        </w:rPr>
        <w:t>.</w:t>
      </w:r>
    </w:p>
    <w:p w14:paraId="35C9F516" w14:textId="7812D33B" w:rsidR="00466687" w:rsidRPr="00E608A5" w:rsidRDefault="00466687" w:rsidP="00466687">
      <w:pPr>
        <w:spacing w:after="120"/>
        <w:rPr>
          <w:b/>
        </w:rPr>
      </w:pPr>
      <w:r w:rsidRPr="00E608A5">
        <w:rPr>
          <w:rFonts w:cs="Times New Roman"/>
          <w:b/>
          <w:szCs w:val="20"/>
        </w:rPr>
        <w:t xml:space="preserve">Observation </w:t>
      </w:r>
      <w:r>
        <w:rPr>
          <w:rFonts w:cs="Times New Roman"/>
          <w:b/>
          <w:szCs w:val="20"/>
        </w:rPr>
        <w:t>2</w:t>
      </w:r>
      <w:r w:rsidRPr="00E608A5">
        <w:rPr>
          <w:rFonts w:cs="Times New Roman"/>
          <w:b/>
          <w:szCs w:val="20"/>
        </w:rPr>
        <w:t xml:space="preserve">: </w:t>
      </w:r>
      <w:r>
        <w:rPr>
          <w:rFonts w:cs="Times New Roman"/>
          <w:b/>
          <w:szCs w:val="20"/>
        </w:rPr>
        <w:t>To change the C-DRX of multiple UEs when cell DTX is activated/deactivated, the legacy</w:t>
      </w:r>
      <w:r w:rsidRPr="00414D7D">
        <w:rPr>
          <w:rFonts w:cs="Times New Roman"/>
          <w:b/>
          <w:szCs w:val="20"/>
        </w:rPr>
        <w:t xml:space="preserve"> mechanism</w:t>
      </w:r>
      <w:r>
        <w:rPr>
          <w:rFonts w:cs="Times New Roman"/>
          <w:b/>
          <w:szCs w:val="20"/>
        </w:rPr>
        <w:t xml:space="preserve"> of </w:t>
      </w:r>
      <w:r w:rsidRPr="00414D7D">
        <w:rPr>
          <w:rFonts w:cs="Times New Roman"/>
          <w:b/>
          <w:szCs w:val="20"/>
        </w:rPr>
        <w:t>reconfigur</w:t>
      </w:r>
      <w:r>
        <w:rPr>
          <w:rFonts w:cs="Times New Roman"/>
          <w:b/>
          <w:szCs w:val="20"/>
        </w:rPr>
        <w:t>ing</w:t>
      </w:r>
      <w:r w:rsidRPr="00414D7D">
        <w:rPr>
          <w:rFonts w:cs="Times New Roman"/>
          <w:b/>
          <w:szCs w:val="20"/>
        </w:rPr>
        <w:t xml:space="preserve"> C-DRX of UEs by UE-specific RRC messages</w:t>
      </w:r>
      <w:r>
        <w:rPr>
          <w:rFonts w:cs="Times New Roman"/>
          <w:b/>
          <w:szCs w:val="20"/>
        </w:rPr>
        <w:t xml:space="preserve"> causes high signalling overhead</w:t>
      </w:r>
      <w:r w:rsidR="00433688">
        <w:rPr>
          <w:rFonts w:cs="Times New Roman"/>
          <w:b/>
          <w:szCs w:val="20"/>
        </w:rPr>
        <w:t xml:space="preserve"> and </w:t>
      </w:r>
      <w:r w:rsidR="00433688" w:rsidRPr="00433688">
        <w:rPr>
          <w:rFonts w:cs="Times New Roman"/>
          <w:b/>
          <w:szCs w:val="20"/>
        </w:rPr>
        <w:t>larger signaling delay than L1 signaling for cell DTX activation/deactivation</w:t>
      </w:r>
      <w:r w:rsidR="00BC338D">
        <w:rPr>
          <w:rFonts w:cs="Times New Roman"/>
          <w:b/>
          <w:szCs w:val="20"/>
        </w:rPr>
        <w:t xml:space="preserve">, which weakens the </w:t>
      </w:r>
      <w:r w:rsidR="002D236C">
        <w:rPr>
          <w:rFonts w:cs="Times New Roman"/>
          <w:b/>
          <w:szCs w:val="20"/>
        </w:rPr>
        <w:t>benefit from</w:t>
      </w:r>
      <w:r w:rsidR="00BC338D">
        <w:rPr>
          <w:rFonts w:cs="Times New Roman"/>
          <w:b/>
          <w:szCs w:val="20"/>
        </w:rPr>
        <w:t xml:space="preserve"> introducing group common L1 signaling for cell </w:t>
      </w:r>
      <w:r w:rsidR="00BC338D" w:rsidRPr="00433688">
        <w:rPr>
          <w:rFonts w:cs="Times New Roman"/>
          <w:b/>
          <w:szCs w:val="20"/>
        </w:rPr>
        <w:t>DTX activation/deactivation</w:t>
      </w:r>
      <w:r>
        <w:rPr>
          <w:rFonts w:cs="Times New Roman"/>
          <w:b/>
          <w:szCs w:val="20"/>
        </w:rPr>
        <w:t>.</w:t>
      </w:r>
    </w:p>
    <w:p w14:paraId="1FCC3093" w14:textId="411DEA3E" w:rsidR="00466687" w:rsidRDefault="00466687" w:rsidP="00466687">
      <w:pPr>
        <w:spacing w:after="120"/>
        <w:rPr>
          <w:rFonts w:cs="Times New Roman"/>
          <w:b/>
          <w:szCs w:val="20"/>
        </w:rPr>
      </w:pPr>
      <w:r w:rsidRPr="00275729">
        <w:rPr>
          <w:rFonts w:cs="Times New Roman"/>
          <w:b/>
          <w:szCs w:val="20"/>
        </w:rPr>
        <w:t xml:space="preserve">Observation 3: </w:t>
      </w:r>
      <w:r>
        <w:rPr>
          <w:rFonts w:cs="Times New Roman"/>
          <w:b/>
          <w:szCs w:val="20"/>
        </w:rPr>
        <w:t>With</w:t>
      </w:r>
      <w:r w:rsidRPr="00275729">
        <w:rPr>
          <w:rFonts w:cs="Times New Roman"/>
          <w:b/>
          <w:szCs w:val="20"/>
        </w:rPr>
        <w:t xml:space="preserve"> </w:t>
      </w:r>
      <w:r w:rsidR="002D236C">
        <w:rPr>
          <w:rFonts w:cs="Times New Roman"/>
          <w:b/>
          <w:szCs w:val="20"/>
        </w:rPr>
        <w:t xml:space="preserve">an additional </w:t>
      </w:r>
      <w:r w:rsidRPr="00275729">
        <w:rPr>
          <w:rFonts w:cs="Times New Roman"/>
          <w:b/>
          <w:szCs w:val="20"/>
        </w:rPr>
        <w:t xml:space="preserve">C-DRX configuration used upon cell DTX activation </w:t>
      </w:r>
      <w:r w:rsidR="002D236C">
        <w:rPr>
          <w:rFonts w:cs="Times New Roman"/>
          <w:b/>
          <w:szCs w:val="20"/>
        </w:rPr>
        <w:t>configured together</w:t>
      </w:r>
      <w:r w:rsidR="002D236C" w:rsidRPr="00275729">
        <w:rPr>
          <w:rFonts w:cs="Times New Roman"/>
          <w:b/>
          <w:szCs w:val="20"/>
        </w:rPr>
        <w:t xml:space="preserve"> </w:t>
      </w:r>
      <w:r w:rsidRPr="00275729">
        <w:rPr>
          <w:rFonts w:cs="Times New Roman"/>
          <w:b/>
          <w:szCs w:val="20"/>
        </w:rPr>
        <w:t xml:space="preserve">with cell DTX configuration, the gNB can reduce signalling overhead </w:t>
      </w:r>
      <w:r w:rsidR="00433688">
        <w:rPr>
          <w:rFonts w:cs="Times New Roman"/>
          <w:b/>
          <w:szCs w:val="20"/>
        </w:rPr>
        <w:t xml:space="preserve">and latency </w:t>
      </w:r>
      <w:r w:rsidRPr="00275729">
        <w:rPr>
          <w:rFonts w:cs="Times New Roman"/>
          <w:b/>
          <w:szCs w:val="20"/>
        </w:rPr>
        <w:t>cause</w:t>
      </w:r>
      <w:r>
        <w:rPr>
          <w:rFonts w:cs="Times New Roman"/>
          <w:b/>
          <w:szCs w:val="20"/>
        </w:rPr>
        <w:t>d</w:t>
      </w:r>
      <w:r w:rsidRPr="00275729">
        <w:rPr>
          <w:rFonts w:cs="Times New Roman"/>
          <w:b/>
          <w:szCs w:val="20"/>
        </w:rPr>
        <w:t xml:space="preserve"> by multiple RRC reconfiguration messages for aligning UE C-DRX with cell DTX.</w:t>
      </w:r>
    </w:p>
    <w:p w14:paraId="1EBA89BB" w14:textId="0950E22B" w:rsidR="00E17311" w:rsidRPr="005D6D93" w:rsidRDefault="00E17311" w:rsidP="00466687">
      <w:pPr>
        <w:spacing w:after="120"/>
      </w:pPr>
      <w:r w:rsidRPr="003B62D3">
        <w:rPr>
          <w:rFonts w:hint="eastAsia"/>
          <w:b/>
        </w:rPr>
        <w:t>O</w:t>
      </w:r>
      <w:r w:rsidRPr="003B62D3">
        <w:rPr>
          <w:b/>
        </w:rPr>
        <w:t xml:space="preserve">bservation 4: </w:t>
      </w:r>
      <w:r w:rsidRPr="003B62D3">
        <w:rPr>
          <w:rFonts w:cs="Times New Roman"/>
          <w:b/>
          <w:szCs w:val="20"/>
        </w:rPr>
        <w:t>For alignment between UE C-DRX and cell DTX, the gNB does not always need to reconfigure all</w:t>
      </w:r>
      <w:r>
        <w:rPr>
          <w:rFonts w:cs="Times New Roman"/>
          <w:b/>
          <w:szCs w:val="20"/>
        </w:rPr>
        <w:t xml:space="preserve"> the C-DRX pa</w:t>
      </w:r>
      <w:r w:rsidR="005234B1">
        <w:rPr>
          <w:rFonts w:cs="Times New Roman"/>
          <w:b/>
          <w:szCs w:val="20"/>
        </w:rPr>
        <w:t>r</w:t>
      </w:r>
      <w:r>
        <w:rPr>
          <w:rFonts w:cs="Times New Roman"/>
          <w:b/>
          <w:szCs w:val="20"/>
        </w:rPr>
        <w:t>ameters.</w:t>
      </w:r>
    </w:p>
    <w:p w14:paraId="77703A3C" w14:textId="0874872F" w:rsidR="00466687" w:rsidRDefault="00EA306D" w:rsidP="00466687">
      <w:pPr>
        <w:spacing w:after="120"/>
        <w:rPr>
          <w:rFonts w:cs="Times New Roman"/>
          <w:b/>
          <w:szCs w:val="20"/>
        </w:rPr>
      </w:pPr>
      <w:r w:rsidRPr="00540881">
        <w:rPr>
          <w:rFonts w:cs="Times New Roman"/>
          <w:b/>
          <w:szCs w:val="20"/>
        </w:rPr>
        <w:t xml:space="preserve">Proposal 1: For alignment between UE C-DRX and cell DTX, the gNB can configure </w:t>
      </w:r>
      <w:r>
        <w:rPr>
          <w:rFonts w:cs="Times New Roman"/>
          <w:b/>
          <w:szCs w:val="20"/>
        </w:rPr>
        <w:t xml:space="preserve">an additional </w:t>
      </w:r>
      <w:r w:rsidRPr="00540881">
        <w:rPr>
          <w:rFonts w:cs="Times New Roman"/>
          <w:b/>
          <w:szCs w:val="20"/>
        </w:rPr>
        <w:t xml:space="preserve">UE C-DRX configuration </w:t>
      </w:r>
      <w:r>
        <w:rPr>
          <w:rFonts w:cs="Times New Roman"/>
          <w:b/>
          <w:szCs w:val="20"/>
        </w:rPr>
        <w:t>together with cell DTX/DRX parameters, which is enabled implicitly</w:t>
      </w:r>
      <w:r w:rsidRPr="00540881">
        <w:rPr>
          <w:rFonts w:cs="Times New Roman"/>
          <w:b/>
          <w:szCs w:val="20"/>
        </w:rPr>
        <w:t xml:space="preserve"> upon cell DTX activation</w:t>
      </w:r>
      <w:r>
        <w:rPr>
          <w:rFonts w:cs="Times New Roman"/>
          <w:b/>
          <w:szCs w:val="20"/>
        </w:rPr>
        <w:t>.</w:t>
      </w:r>
      <w:r w:rsidRPr="00540881">
        <w:rPr>
          <w:rFonts w:cs="Times New Roman"/>
          <w:b/>
          <w:szCs w:val="20"/>
        </w:rPr>
        <w:t xml:space="preserve"> </w:t>
      </w:r>
      <w:r>
        <w:rPr>
          <w:rFonts w:cs="Times New Roman"/>
          <w:b/>
          <w:szCs w:val="20"/>
        </w:rPr>
        <w:t xml:space="preserve">The additional C-DRX configuration </w:t>
      </w:r>
      <w:r w:rsidRPr="00540881">
        <w:rPr>
          <w:rFonts w:cs="Times New Roman"/>
          <w:b/>
          <w:szCs w:val="20"/>
        </w:rPr>
        <w:t>contain</w:t>
      </w:r>
      <w:r>
        <w:rPr>
          <w:rFonts w:cs="Times New Roman"/>
          <w:b/>
          <w:szCs w:val="20"/>
        </w:rPr>
        <w:t>s</w:t>
      </w:r>
      <w:r w:rsidRPr="00540881">
        <w:rPr>
          <w:rFonts w:cs="Times New Roman"/>
          <w:b/>
          <w:szCs w:val="20"/>
        </w:rPr>
        <w:t xml:space="preserve"> optional C-DRX parameters which the </w:t>
      </w:r>
      <w:r>
        <w:rPr>
          <w:rFonts w:cs="Times New Roman"/>
          <w:b/>
          <w:szCs w:val="20"/>
        </w:rPr>
        <w:t>UE shall use</w:t>
      </w:r>
      <w:r w:rsidRPr="00540881">
        <w:rPr>
          <w:rFonts w:cs="Times New Roman"/>
          <w:b/>
          <w:szCs w:val="20"/>
        </w:rPr>
        <w:t xml:space="preserve"> when cell DTX is activated.</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B8C1F02"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w:t>
      </w:r>
      <w:r w:rsidR="009726C1">
        <w:rPr>
          <w:rFonts w:ascii="Times New Roman" w:hAnsi="Times New Roman"/>
          <w:sz w:val="20"/>
          <w:szCs w:val="20"/>
        </w:rPr>
        <w:t>19bis</w:t>
      </w:r>
      <w:r>
        <w:rPr>
          <w:rFonts w:ascii="Times New Roman" w:hAnsi="Times New Roman"/>
          <w:sz w:val="20"/>
          <w:szCs w:val="20"/>
        </w:rPr>
        <w:t xml:space="preserve"> meeting minutes</w:t>
      </w:r>
    </w:p>
    <w:p w14:paraId="20EDEF21" w14:textId="4451B065" w:rsidR="00541641" w:rsidRPr="00E14384" w:rsidRDefault="005234B1" w:rsidP="00541641">
      <w:pPr>
        <w:pStyle w:val="aa"/>
        <w:widowControl/>
        <w:numPr>
          <w:ilvl w:val="0"/>
          <w:numId w:val="13"/>
        </w:numPr>
        <w:ind w:firstLineChars="0"/>
        <w:jc w:val="left"/>
        <w:rPr>
          <w:rFonts w:ascii="Times New Roman" w:hAnsi="Times New Roman"/>
          <w:color w:val="000000"/>
          <w:kern w:val="0"/>
          <w:sz w:val="20"/>
          <w:szCs w:val="20"/>
        </w:rPr>
      </w:pPr>
      <w:r w:rsidRPr="005234B1">
        <w:rPr>
          <w:rFonts w:ascii="Times New Roman" w:hAnsi="Times New Roman"/>
          <w:sz w:val="20"/>
          <w:szCs w:val="20"/>
        </w:rPr>
        <w:t>R2-2304568</w:t>
      </w:r>
      <w:r w:rsidR="008704A2">
        <w:rPr>
          <w:rFonts w:ascii="Times New Roman" w:hAnsi="Times New Roman"/>
          <w:sz w:val="20"/>
          <w:szCs w:val="20"/>
        </w:rPr>
        <w:t xml:space="preserve"> </w:t>
      </w:r>
      <w:r w:rsidR="008704A2" w:rsidRPr="008704A2">
        <w:rPr>
          <w:rFonts w:ascii="Times New Roman" w:hAnsi="Times New Roman"/>
          <w:sz w:val="20"/>
          <w:szCs w:val="20"/>
        </w:rPr>
        <w:t>LS on Cell DTX/DRX activation/deactivation</w:t>
      </w:r>
    </w:p>
    <w:p w14:paraId="62FB94B6" w14:textId="26B36137" w:rsidR="00541641" w:rsidRDefault="005234B1" w:rsidP="00541641">
      <w:pPr>
        <w:pStyle w:val="aa"/>
        <w:widowControl/>
        <w:numPr>
          <w:ilvl w:val="0"/>
          <w:numId w:val="13"/>
        </w:numPr>
        <w:ind w:firstLineChars="0"/>
        <w:jc w:val="left"/>
        <w:rPr>
          <w:rFonts w:ascii="Times New Roman" w:hAnsi="Times New Roman"/>
          <w:color w:val="000000"/>
          <w:kern w:val="0"/>
          <w:sz w:val="20"/>
          <w:szCs w:val="20"/>
        </w:rPr>
      </w:pPr>
      <w:r w:rsidRPr="005234B1">
        <w:rPr>
          <w:rFonts w:ascii="Times New Roman" w:hAnsi="Times New Roman"/>
          <w:color w:val="000000"/>
          <w:kern w:val="0"/>
          <w:sz w:val="20"/>
          <w:szCs w:val="20"/>
        </w:rPr>
        <w:t xml:space="preserve">R1-2306246 </w:t>
      </w:r>
      <w:r w:rsidR="002F7666" w:rsidRPr="002F7666">
        <w:rPr>
          <w:rFonts w:ascii="Times New Roman" w:hAnsi="Times New Roman"/>
          <w:color w:val="000000"/>
          <w:kern w:val="0"/>
          <w:sz w:val="20"/>
          <w:szCs w:val="20"/>
        </w:rPr>
        <w:t>Reply LS on Cell DTX/DRX activation/deactivation</w:t>
      </w:r>
    </w:p>
    <w:p w14:paraId="7AA5DB8C" w14:textId="2D9A106E" w:rsidR="004A239E" w:rsidRDefault="004A239E"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R2#121bis meeting minutes</w:t>
      </w:r>
    </w:p>
    <w:p w14:paraId="0A750DD4" w14:textId="085EDD90" w:rsidR="00975746" w:rsidRDefault="00975746"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38.331, V17.5.0</w:t>
      </w:r>
    </w:p>
    <w:p w14:paraId="3A66828D" w14:textId="42AC767A" w:rsidR="00975746" w:rsidRDefault="00975746" w:rsidP="00975746">
      <w:pPr>
        <w:widowControl/>
        <w:jc w:val="left"/>
        <w:rPr>
          <w:color w:val="000000"/>
          <w:kern w:val="0"/>
          <w:szCs w:val="20"/>
        </w:rPr>
      </w:pPr>
    </w:p>
    <w:p w14:paraId="6D4A0614" w14:textId="4BD80C59" w:rsidR="00975746" w:rsidRDefault="00975746">
      <w:pPr>
        <w:widowControl/>
        <w:jc w:val="left"/>
        <w:rPr>
          <w:color w:val="000000"/>
          <w:kern w:val="0"/>
          <w:szCs w:val="20"/>
        </w:rPr>
      </w:pPr>
      <w:r>
        <w:rPr>
          <w:color w:val="000000"/>
          <w:kern w:val="0"/>
          <w:szCs w:val="20"/>
        </w:rPr>
        <w:br w:type="page"/>
      </w:r>
    </w:p>
    <w:p w14:paraId="3274EA3F" w14:textId="77777777" w:rsidR="00975746" w:rsidRDefault="00975746" w:rsidP="00541641">
      <w:pPr>
        <w:pStyle w:val="1"/>
        <w:sectPr w:rsidR="00975746" w:rsidSect="00F27036">
          <w:pgSz w:w="11906" w:h="16838"/>
          <w:pgMar w:top="1418" w:right="1134" w:bottom="1134" w:left="1134" w:header="851" w:footer="992" w:gutter="0"/>
          <w:cols w:space="425"/>
          <w:docGrid w:type="lines" w:linePitch="312"/>
        </w:sectPr>
      </w:pPr>
    </w:p>
    <w:p w14:paraId="4EB0EE16" w14:textId="20CB4DD0" w:rsidR="00541641" w:rsidRDefault="00541641" w:rsidP="00541641">
      <w:pPr>
        <w:pStyle w:val="1"/>
      </w:pPr>
      <w:r>
        <w:lastRenderedPageBreak/>
        <w:t>Annex</w:t>
      </w:r>
    </w:p>
    <w:p w14:paraId="34323547" w14:textId="4D94B29B" w:rsidR="00A2414B" w:rsidRDefault="00975746" w:rsidP="00975746">
      <w:pPr>
        <w:pStyle w:val="2"/>
      </w:pPr>
      <w:r>
        <w:t>Existing C-DRX configuration IE</w:t>
      </w:r>
    </w:p>
    <w:p w14:paraId="43C5021A" w14:textId="4625047A" w:rsidR="00975746" w:rsidRPr="00975746" w:rsidRDefault="00975746" w:rsidP="00975746">
      <w:pPr>
        <w:spacing w:before="120" w:after="180"/>
        <w:rPr>
          <w:rFonts w:ascii="Arial" w:hAnsi="Arial" w:cs="Arial"/>
          <w:i/>
          <w:sz w:val="24"/>
          <w:szCs w:val="24"/>
        </w:rPr>
      </w:pPr>
      <w:bookmarkStart w:id="9" w:name="_Toc60777234"/>
      <w:bookmarkStart w:id="10" w:name="_Toc139045569"/>
      <w:r w:rsidRPr="00975746">
        <w:rPr>
          <w:rFonts w:ascii="Arial" w:hAnsi="Arial" w:cs="Arial"/>
          <w:i/>
          <w:sz w:val="24"/>
          <w:szCs w:val="24"/>
        </w:rPr>
        <w:t>–</w:t>
      </w:r>
      <w:r w:rsidRPr="00975746">
        <w:rPr>
          <w:rFonts w:ascii="Arial" w:hAnsi="Arial" w:cs="Arial"/>
          <w:i/>
          <w:sz w:val="24"/>
          <w:szCs w:val="24"/>
        </w:rPr>
        <w:tab/>
        <w:t>DRX-Config</w:t>
      </w:r>
      <w:bookmarkEnd w:id="9"/>
      <w:bookmarkEnd w:id="10"/>
    </w:p>
    <w:p w14:paraId="45238EEE" w14:textId="19EA1219" w:rsidR="00975746" w:rsidRPr="00C0503E" w:rsidRDefault="00975746" w:rsidP="00975746">
      <w:pPr>
        <w:spacing w:after="180"/>
      </w:pPr>
      <w:r w:rsidRPr="00C0503E">
        <w:t xml:space="preserve">The IE </w:t>
      </w:r>
      <w:r w:rsidRPr="00C0503E">
        <w:rPr>
          <w:i/>
        </w:rPr>
        <w:t>DRX-Config</w:t>
      </w:r>
      <w:r w:rsidRPr="00C0503E">
        <w:t xml:space="preserve"> is used to configure DRX related parameters.</w:t>
      </w:r>
    </w:p>
    <w:p w14:paraId="002F25EB" w14:textId="77777777" w:rsidR="00975746" w:rsidRPr="00C0503E" w:rsidRDefault="00975746" w:rsidP="00975746">
      <w:pPr>
        <w:pStyle w:val="TH"/>
      </w:pPr>
      <w:r w:rsidRPr="00C0503E">
        <w:rPr>
          <w:i/>
        </w:rPr>
        <w:t>DRX-Config</w:t>
      </w:r>
      <w:r w:rsidRPr="00C0503E">
        <w:t xml:space="preserve"> information element</w:t>
      </w:r>
    </w:p>
    <w:p w14:paraId="2BCE599A" w14:textId="77777777" w:rsidR="00975746" w:rsidRPr="00C0503E" w:rsidRDefault="00975746" w:rsidP="00975746">
      <w:pPr>
        <w:pStyle w:val="PL"/>
        <w:snapToGrid w:val="0"/>
        <w:rPr>
          <w:color w:val="808080"/>
        </w:rPr>
      </w:pPr>
      <w:r w:rsidRPr="00C0503E">
        <w:rPr>
          <w:color w:val="808080"/>
        </w:rPr>
        <w:t>-- ASN1START</w:t>
      </w:r>
    </w:p>
    <w:p w14:paraId="26502963" w14:textId="77777777" w:rsidR="00975746" w:rsidRPr="00C0503E" w:rsidRDefault="00975746" w:rsidP="00975746">
      <w:pPr>
        <w:pStyle w:val="PL"/>
        <w:snapToGrid w:val="0"/>
        <w:rPr>
          <w:color w:val="808080"/>
        </w:rPr>
      </w:pPr>
      <w:r w:rsidRPr="00C0503E">
        <w:rPr>
          <w:color w:val="808080"/>
        </w:rPr>
        <w:t>-- TAG-DRX-CONFIG-START</w:t>
      </w:r>
    </w:p>
    <w:p w14:paraId="6C5084EB" w14:textId="77777777" w:rsidR="00975746" w:rsidRPr="00C0503E" w:rsidRDefault="00975746" w:rsidP="00975746">
      <w:pPr>
        <w:pStyle w:val="PL"/>
        <w:snapToGrid w:val="0"/>
      </w:pPr>
    </w:p>
    <w:p w14:paraId="68080FEC" w14:textId="77777777" w:rsidR="00975746" w:rsidRPr="00C0503E" w:rsidRDefault="00975746" w:rsidP="00975746">
      <w:pPr>
        <w:pStyle w:val="PL"/>
        <w:snapToGrid w:val="0"/>
      </w:pPr>
      <w:r w:rsidRPr="00C0503E">
        <w:t xml:space="preserve">DRX-Config ::=                      </w:t>
      </w:r>
      <w:r w:rsidRPr="00C0503E">
        <w:rPr>
          <w:color w:val="993366"/>
        </w:rPr>
        <w:t>SEQUENCE</w:t>
      </w:r>
      <w:r w:rsidRPr="00C0503E">
        <w:t xml:space="preserve"> {</w:t>
      </w:r>
    </w:p>
    <w:p w14:paraId="1857C7F3" w14:textId="77777777" w:rsidR="00975746" w:rsidRPr="00C0503E" w:rsidRDefault="00975746" w:rsidP="00975746">
      <w:pPr>
        <w:pStyle w:val="PL"/>
        <w:snapToGrid w:val="0"/>
      </w:pPr>
      <w:r w:rsidRPr="00C0503E">
        <w:t xml:space="preserve">    drx-onDurationTimer                 </w:t>
      </w:r>
      <w:r w:rsidRPr="00C0503E">
        <w:rPr>
          <w:color w:val="993366"/>
        </w:rPr>
        <w:t>CHOICE</w:t>
      </w:r>
      <w:r w:rsidRPr="00C0503E">
        <w:t xml:space="preserve"> {</w:t>
      </w:r>
    </w:p>
    <w:p w14:paraId="7A9E6860" w14:textId="77777777" w:rsidR="00975746" w:rsidRPr="00C0503E" w:rsidRDefault="00975746" w:rsidP="00975746">
      <w:pPr>
        <w:pStyle w:val="PL"/>
        <w:snapToGrid w:val="0"/>
      </w:pPr>
      <w:r w:rsidRPr="00C0503E">
        <w:t xml:space="preserve">                                            subMilliSeconds </w:t>
      </w:r>
      <w:r w:rsidRPr="00C0503E">
        <w:rPr>
          <w:color w:val="993366"/>
        </w:rPr>
        <w:t>INTEGER</w:t>
      </w:r>
      <w:r w:rsidRPr="00C0503E">
        <w:t xml:space="preserve"> (1..31),</w:t>
      </w:r>
    </w:p>
    <w:p w14:paraId="2A17266F" w14:textId="77777777" w:rsidR="00975746" w:rsidRPr="00C0503E" w:rsidRDefault="00975746" w:rsidP="00975746">
      <w:pPr>
        <w:pStyle w:val="PL"/>
        <w:snapToGrid w:val="0"/>
      </w:pPr>
      <w:r w:rsidRPr="00C0503E">
        <w:t xml:space="preserve">                                            milliSeconds    </w:t>
      </w:r>
      <w:r w:rsidRPr="00C0503E">
        <w:rPr>
          <w:color w:val="993366"/>
        </w:rPr>
        <w:t>ENUMERATED</w:t>
      </w:r>
      <w:r w:rsidRPr="00C0503E">
        <w:t xml:space="preserve"> {</w:t>
      </w:r>
    </w:p>
    <w:p w14:paraId="552A3808" w14:textId="77777777" w:rsidR="00975746" w:rsidRPr="00C0503E" w:rsidRDefault="00975746" w:rsidP="00975746">
      <w:pPr>
        <w:pStyle w:val="PL"/>
        <w:snapToGrid w:val="0"/>
      </w:pPr>
      <w:r w:rsidRPr="00C0503E">
        <w:t xml:space="preserve">                                                ms1, ms2, ms3, ms4, ms5, ms6, ms8, ms10, ms20, ms30, ms40, ms50, ms60,</w:t>
      </w:r>
    </w:p>
    <w:p w14:paraId="4FB45E3A" w14:textId="77777777" w:rsidR="00975746" w:rsidRPr="00C0503E" w:rsidRDefault="00975746" w:rsidP="00975746">
      <w:pPr>
        <w:pStyle w:val="PL"/>
        <w:snapToGrid w:val="0"/>
      </w:pPr>
      <w:r w:rsidRPr="00C0503E">
        <w:t xml:space="preserve">                                                ms80, ms100, ms200, ms300, ms400, ms500, ms600, ms800, ms1000, ms1200,</w:t>
      </w:r>
    </w:p>
    <w:p w14:paraId="558FB04F" w14:textId="77777777" w:rsidR="00975746" w:rsidRPr="00C0503E" w:rsidRDefault="00975746" w:rsidP="00975746">
      <w:pPr>
        <w:pStyle w:val="PL"/>
        <w:snapToGrid w:val="0"/>
      </w:pPr>
      <w:r w:rsidRPr="00C0503E">
        <w:t xml:space="preserve">                                                ms1600, spare8, spare7, spare6, spare5, spare4, spare3, spare2, spare1 }</w:t>
      </w:r>
    </w:p>
    <w:p w14:paraId="046BAD5B" w14:textId="77777777" w:rsidR="00975746" w:rsidRPr="00C0503E" w:rsidRDefault="00975746" w:rsidP="00975746">
      <w:pPr>
        <w:pStyle w:val="PL"/>
        <w:snapToGrid w:val="0"/>
      </w:pPr>
      <w:r w:rsidRPr="00C0503E">
        <w:t xml:space="preserve">                                            },</w:t>
      </w:r>
    </w:p>
    <w:p w14:paraId="31E629B1" w14:textId="77777777" w:rsidR="00975746" w:rsidRPr="00C0503E" w:rsidRDefault="00975746" w:rsidP="00975746">
      <w:pPr>
        <w:pStyle w:val="PL"/>
        <w:snapToGrid w:val="0"/>
      </w:pPr>
      <w:r w:rsidRPr="00C0503E">
        <w:t xml:space="preserve">    drx-InactivityTimer                 </w:t>
      </w:r>
      <w:r w:rsidRPr="00C0503E">
        <w:rPr>
          <w:color w:val="993366"/>
        </w:rPr>
        <w:t>ENUMERATED</w:t>
      </w:r>
      <w:r w:rsidRPr="00C0503E">
        <w:t xml:space="preserve"> {</w:t>
      </w:r>
    </w:p>
    <w:p w14:paraId="65DA3687" w14:textId="77777777" w:rsidR="00975746" w:rsidRPr="00C0503E" w:rsidRDefault="00975746" w:rsidP="00975746">
      <w:pPr>
        <w:pStyle w:val="PL"/>
        <w:snapToGrid w:val="0"/>
      </w:pPr>
      <w:r w:rsidRPr="00C0503E">
        <w:t xml:space="preserve">                                            ms0, ms1, ms2, ms3, ms4, ms5, ms6, ms8, ms10, ms20, ms30, ms40, ms50, ms60, ms80,</w:t>
      </w:r>
    </w:p>
    <w:p w14:paraId="7F6AC0F7" w14:textId="77777777" w:rsidR="00975746" w:rsidRPr="00C0503E" w:rsidRDefault="00975746" w:rsidP="00975746">
      <w:pPr>
        <w:pStyle w:val="PL"/>
        <w:snapToGrid w:val="0"/>
      </w:pPr>
      <w:r w:rsidRPr="00C0503E">
        <w:t xml:space="preserve">                                            ms100, ms200, ms300, ms500, ms750, ms1280, ms1920, ms2560, spare9, spare8,</w:t>
      </w:r>
    </w:p>
    <w:p w14:paraId="3D79C176" w14:textId="77777777" w:rsidR="00975746" w:rsidRPr="00C0503E" w:rsidRDefault="00975746" w:rsidP="00975746">
      <w:pPr>
        <w:pStyle w:val="PL"/>
        <w:snapToGrid w:val="0"/>
      </w:pPr>
      <w:r w:rsidRPr="00C0503E">
        <w:t xml:space="preserve">                                            spare7, spare6, spare5, spare4, spare3, spare2, spare1},</w:t>
      </w:r>
    </w:p>
    <w:p w14:paraId="02FF9DEB" w14:textId="77777777" w:rsidR="00975746" w:rsidRPr="00C0503E" w:rsidRDefault="00975746" w:rsidP="00975746">
      <w:pPr>
        <w:pStyle w:val="PL"/>
        <w:snapToGrid w:val="0"/>
      </w:pPr>
      <w:r w:rsidRPr="00C0503E">
        <w:t xml:space="preserve">    drx-HARQ-RTT-TimerDL                </w:t>
      </w:r>
      <w:r w:rsidRPr="00C0503E">
        <w:rPr>
          <w:color w:val="993366"/>
        </w:rPr>
        <w:t>INTEGER</w:t>
      </w:r>
      <w:r w:rsidRPr="00C0503E">
        <w:t xml:space="preserve"> (0..56),</w:t>
      </w:r>
    </w:p>
    <w:p w14:paraId="2359EFE1" w14:textId="77777777" w:rsidR="00975746" w:rsidRPr="00C0503E" w:rsidRDefault="00975746" w:rsidP="00975746">
      <w:pPr>
        <w:pStyle w:val="PL"/>
        <w:snapToGrid w:val="0"/>
      </w:pPr>
      <w:r w:rsidRPr="00C0503E">
        <w:t xml:space="preserve">    drx-HARQ-RTT-TimerUL                </w:t>
      </w:r>
      <w:r w:rsidRPr="00C0503E">
        <w:rPr>
          <w:color w:val="993366"/>
        </w:rPr>
        <w:t>INTEGER</w:t>
      </w:r>
      <w:r w:rsidRPr="00C0503E">
        <w:t xml:space="preserve"> (0..56),</w:t>
      </w:r>
    </w:p>
    <w:p w14:paraId="4C54445C" w14:textId="77777777" w:rsidR="00975746" w:rsidRPr="00C0503E" w:rsidRDefault="00975746" w:rsidP="00975746">
      <w:pPr>
        <w:pStyle w:val="PL"/>
        <w:snapToGrid w:val="0"/>
      </w:pPr>
      <w:r w:rsidRPr="00C0503E">
        <w:t xml:space="preserve">    drx-RetransmissionTimerDL           </w:t>
      </w:r>
      <w:r w:rsidRPr="00C0503E">
        <w:rPr>
          <w:color w:val="993366"/>
        </w:rPr>
        <w:t>ENUMERATED</w:t>
      </w:r>
      <w:r w:rsidRPr="00C0503E">
        <w:t xml:space="preserve"> {</w:t>
      </w:r>
    </w:p>
    <w:p w14:paraId="57CF620D" w14:textId="77777777" w:rsidR="00975746" w:rsidRPr="00C0503E" w:rsidRDefault="00975746" w:rsidP="00975746">
      <w:pPr>
        <w:pStyle w:val="PL"/>
        <w:snapToGrid w:val="0"/>
      </w:pPr>
      <w:r w:rsidRPr="00C0503E">
        <w:t xml:space="preserve">                                            sl0, sl1, sl2, sl4, sl6, sl8, sl16, sl24, sl33, sl40, sl64, sl80, sl96, sl112, sl128,</w:t>
      </w:r>
    </w:p>
    <w:p w14:paraId="49F16463" w14:textId="77777777" w:rsidR="00975746" w:rsidRPr="00C0503E" w:rsidRDefault="00975746" w:rsidP="00975746">
      <w:pPr>
        <w:pStyle w:val="PL"/>
        <w:snapToGrid w:val="0"/>
      </w:pPr>
      <w:r w:rsidRPr="00C0503E">
        <w:t xml:space="preserve">                                            sl160, sl320, spare15, spare14, spare13, spare12, spare11, spare10, spare9,</w:t>
      </w:r>
    </w:p>
    <w:p w14:paraId="4CA517BC" w14:textId="77777777" w:rsidR="00975746" w:rsidRPr="00C0503E" w:rsidRDefault="00975746" w:rsidP="00975746">
      <w:pPr>
        <w:pStyle w:val="PL"/>
        <w:snapToGrid w:val="0"/>
      </w:pPr>
      <w:r w:rsidRPr="00C0503E">
        <w:t xml:space="preserve">                                            spare8, spare7, spare6, spare5, spare4, spare3, spare2, spare1},</w:t>
      </w:r>
    </w:p>
    <w:p w14:paraId="748C651B" w14:textId="77777777" w:rsidR="00975746" w:rsidRPr="00C0503E" w:rsidRDefault="00975746" w:rsidP="00975746">
      <w:pPr>
        <w:pStyle w:val="PL"/>
        <w:snapToGrid w:val="0"/>
      </w:pPr>
      <w:r w:rsidRPr="00C0503E">
        <w:t xml:space="preserve">    drx-RetransmissionTimerUL           </w:t>
      </w:r>
      <w:r w:rsidRPr="00C0503E">
        <w:rPr>
          <w:color w:val="993366"/>
        </w:rPr>
        <w:t>ENUMERATED</w:t>
      </w:r>
      <w:r w:rsidRPr="00C0503E">
        <w:t xml:space="preserve"> {</w:t>
      </w:r>
    </w:p>
    <w:p w14:paraId="490FA688" w14:textId="77777777" w:rsidR="00975746" w:rsidRPr="00C0503E" w:rsidRDefault="00975746" w:rsidP="00975746">
      <w:pPr>
        <w:pStyle w:val="PL"/>
        <w:snapToGrid w:val="0"/>
      </w:pPr>
      <w:r w:rsidRPr="00C0503E">
        <w:t xml:space="preserve">                                            sl0, sl1, sl2, sl4, sl6, sl8, sl16, sl24, sl33, sl40, sl64, sl80, sl96, sl112, sl128,</w:t>
      </w:r>
    </w:p>
    <w:p w14:paraId="787494A2" w14:textId="77777777" w:rsidR="00975746" w:rsidRPr="00C0503E" w:rsidRDefault="00975746" w:rsidP="00975746">
      <w:pPr>
        <w:pStyle w:val="PL"/>
        <w:snapToGrid w:val="0"/>
      </w:pPr>
      <w:r w:rsidRPr="00C0503E">
        <w:t xml:space="preserve">                                            sl160, sl320, spare15, spare14, spare13, spare12, spare11, spare10, spare9,</w:t>
      </w:r>
    </w:p>
    <w:p w14:paraId="2B76F3E7" w14:textId="77777777" w:rsidR="00975746" w:rsidRPr="00C0503E" w:rsidRDefault="00975746" w:rsidP="00975746">
      <w:pPr>
        <w:pStyle w:val="PL"/>
        <w:snapToGrid w:val="0"/>
      </w:pPr>
      <w:r w:rsidRPr="00C0503E">
        <w:t xml:space="preserve">                                            spare8, spare7, spare6, spare5, spare4, spare3, spare2, spare1 },</w:t>
      </w:r>
    </w:p>
    <w:p w14:paraId="0D77B1DF" w14:textId="77777777" w:rsidR="00975746" w:rsidRPr="00C0503E" w:rsidRDefault="00975746" w:rsidP="00975746">
      <w:pPr>
        <w:pStyle w:val="PL"/>
        <w:snapToGrid w:val="0"/>
      </w:pPr>
      <w:r w:rsidRPr="00C0503E">
        <w:t xml:space="preserve">    drx-LongCycleStartOffset            </w:t>
      </w:r>
      <w:r w:rsidRPr="00C0503E">
        <w:rPr>
          <w:color w:val="993366"/>
        </w:rPr>
        <w:t>CHOICE</w:t>
      </w:r>
      <w:r w:rsidRPr="00C0503E">
        <w:t xml:space="preserve"> {</w:t>
      </w:r>
    </w:p>
    <w:p w14:paraId="43EF8064" w14:textId="77777777" w:rsidR="00975746" w:rsidRPr="00C0503E" w:rsidRDefault="00975746" w:rsidP="00975746">
      <w:pPr>
        <w:pStyle w:val="PL"/>
        <w:snapToGrid w:val="0"/>
      </w:pPr>
      <w:r w:rsidRPr="00C0503E">
        <w:t xml:space="preserve">        ms10                                </w:t>
      </w:r>
      <w:r w:rsidRPr="00C0503E">
        <w:rPr>
          <w:color w:val="993366"/>
        </w:rPr>
        <w:t>INTEGER</w:t>
      </w:r>
      <w:r w:rsidRPr="00C0503E">
        <w:t>(0..9),</w:t>
      </w:r>
    </w:p>
    <w:p w14:paraId="561D6800" w14:textId="77777777" w:rsidR="00975746" w:rsidRPr="00C0503E" w:rsidRDefault="00975746" w:rsidP="00975746">
      <w:pPr>
        <w:pStyle w:val="PL"/>
        <w:snapToGrid w:val="0"/>
      </w:pPr>
      <w:r w:rsidRPr="00C0503E">
        <w:t xml:space="preserve">        ms20                                </w:t>
      </w:r>
      <w:r w:rsidRPr="00C0503E">
        <w:rPr>
          <w:color w:val="993366"/>
        </w:rPr>
        <w:t>INTEGER</w:t>
      </w:r>
      <w:r w:rsidRPr="00C0503E">
        <w:t>(0..19),</w:t>
      </w:r>
    </w:p>
    <w:p w14:paraId="412BA283" w14:textId="77777777" w:rsidR="00975746" w:rsidRPr="00C0503E" w:rsidRDefault="00975746" w:rsidP="00975746">
      <w:pPr>
        <w:pStyle w:val="PL"/>
        <w:snapToGrid w:val="0"/>
      </w:pPr>
      <w:r w:rsidRPr="00C0503E">
        <w:t xml:space="preserve">        ms32                                </w:t>
      </w:r>
      <w:r w:rsidRPr="00C0503E">
        <w:rPr>
          <w:color w:val="993366"/>
        </w:rPr>
        <w:t>INTEGER</w:t>
      </w:r>
      <w:r w:rsidRPr="00C0503E">
        <w:t>(0..31),</w:t>
      </w:r>
    </w:p>
    <w:p w14:paraId="4206659D" w14:textId="77777777" w:rsidR="00975746" w:rsidRPr="00C0503E" w:rsidRDefault="00975746" w:rsidP="00975746">
      <w:pPr>
        <w:pStyle w:val="PL"/>
        <w:snapToGrid w:val="0"/>
      </w:pPr>
      <w:r w:rsidRPr="00C0503E">
        <w:t xml:space="preserve">        ms40                                </w:t>
      </w:r>
      <w:r w:rsidRPr="00C0503E">
        <w:rPr>
          <w:color w:val="993366"/>
        </w:rPr>
        <w:t>INTEGER</w:t>
      </w:r>
      <w:r w:rsidRPr="00C0503E">
        <w:t>(0..39),</w:t>
      </w:r>
    </w:p>
    <w:p w14:paraId="0A7512B4" w14:textId="77777777" w:rsidR="00975746" w:rsidRPr="00C0503E" w:rsidRDefault="00975746" w:rsidP="00975746">
      <w:pPr>
        <w:pStyle w:val="PL"/>
        <w:snapToGrid w:val="0"/>
      </w:pPr>
      <w:r w:rsidRPr="00C0503E">
        <w:t xml:space="preserve">        ms60                                </w:t>
      </w:r>
      <w:r w:rsidRPr="00C0503E">
        <w:rPr>
          <w:color w:val="993366"/>
        </w:rPr>
        <w:t>INTEGER</w:t>
      </w:r>
      <w:r w:rsidRPr="00C0503E">
        <w:t>(0..59),</w:t>
      </w:r>
    </w:p>
    <w:p w14:paraId="485B2EA0" w14:textId="77777777" w:rsidR="00975746" w:rsidRPr="00C0503E" w:rsidRDefault="00975746" w:rsidP="00975746">
      <w:pPr>
        <w:pStyle w:val="PL"/>
        <w:snapToGrid w:val="0"/>
      </w:pPr>
      <w:r w:rsidRPr="00C0503E">
        <w:t xml:space="preserve">        ms64                                </w:t>
      </w:r>
      <w:r w:rsidRPr="00C0503E">
        <w:rPr>
          <w:color w:val="993366"/>
        </w:rPr>
        <w:t>INTEGER</w:t>
      </w:r>
      <w:r w:rsidRPr="00C0503E">
        <w:t>(0..63),</w:t>
      </w:r>
    </w:p>
    <w:p w14:paraId="6D18828B" w14:textId="77777777" w:rsidR="00975746" w:rsidRPr="00C0503E" w:rsidRDefault="00975746" w:rsidP="00975746">
      <w:pPr>
        <w:pStyle w:val="PL"/>
        <w:snapToGrid w:val="0"/>
      </w:pPr>
      <w:r w:rsidRPr="00C0503E">
        <w:t xml:space="preserve">        ms70                                </w:t>
      </w:r>
      <w:r w:rsidRPr="00C0503E">
        <w:rPr>
          <w:color w:val="993366"/>
        </w:rPr>
        <w:t>INTEGER</w:t>
      </w:r>
      <w:r w:rsidRPr="00C0503E">
        <w:t>(0..69),</w:t>
      </w:r>
    </w:p>
    <w:p w14:paraId="60550734" w14:textId="77777777" w:rsidR="00975746" w:rsidRPr="00C0503E" w:rsidRDefault="00975746" w:rsidP="00975746">
      <w:pPr>
        <w:pStyle w:val="PL"/>
        <w:snapToGrid w:val="0"/>
      </w:pPr>
      <w:r w:rsidRPr="00C0503E">
        <w:t xml:space="preserve">        ms80                                </w:t>
      </w:r>
      <w:r w:rsidRPr="00C0503E">
        <w:rPr>
          <w:color w:val="993366"/>
        </w:rPr>
        <w:t>INTEGER</w:t>
      </w:r>
      <w:r w:rsidRPr="00C0503E">
        <w:t>(0..79),</w:t>
      </w:r>
    </w:p>
    <w:p w14:paraId="390247B5" w14:textId="77777777" w:rsidR="00975746" w:rsidRPr="00C0503E" w:rsidRDefault="00975746" w:rsidP="00975746">
      <w:pPr>
        <w:pStyle w:val="PL"/>
        <w:snapToGrid w:val="0"/>
      </w:pPr>
      <w:r w:rsidRPr="00C0503E">
        <w:t xml:space="preserve">        ms128                               </w:t>
      </w:r>
      <w:r w:rsidRPr="00C0503E">
        <w:rPr>
          <w:color w:val="993366"/>
        </w:rPr>
        <w:t>INTEGER</w:t>
      </w:r>
      <w:r w:rsidRPr="00C0503E">
        <w:t>(0..127),</w:t>
      </w:r>
    </w:p>
    <w:p w14:paraId="2785C139" w14:textId="77777777" w:rsidR="00975746" w:rsidRPr="00C0503E" w:rsidRDefault="00975746" w:rsidP="00975746">
      <w:pPr>
        <w:pStyle w:val="PL"/>
        <w:snapToGrid w:val="0"/>
      </w:pPr>
      <w:r w:rsidRPr="00C0503E">
        <w:t xml:space="preserve">        ms160                               </w:t>
      </w:r>
      <w:r w:rsidRPr="00C0503E">
        <w:rPr>
          <w:color w:val="993366"/>
        </w:rPr>
        <w:t>INTEGER</w:t>
      </w:r>
      <w:r w:rsidRPr="00C0503E">
        <w:t>(0..159),</w:t>
      </w:r>
    </w:p>
    <w:p w14:paraId="515272B6" w14:textId="77777777" w:rsidR="00975746" w:rsidRPr="00C0503E" w:rsidRDefault="00975746" w:rsidP="00975746">
      <w:pPr>
        <w:pStyle w:val="PL"/>
        <w:snapToGrid w:val="0"/>
      </w:pPr>
      <w:r w:rsidRPr="00C0503E">
        <w:t xml:space="preserve">        ms256                               </w:t>
      </w:r>
      <w:r w:rsidRPr="00C0503E">
        <w:rPr>
          <w:color w:val="993366"/>
        </w:rPr>
        <w:t>INTEGER</w:t>
      </w:r>
      <w:r w:rsidRPr="00C0503E">
        <w:t>(0..255),</w:t>
      </w:r>
    </w:p>
    <w:p w14:paraId="63078323" w14:textId="77777777" w:rsidR="00975746" w:rsidRPr="00C0503E" w:rsidRDefault="00975746" w:rsidP="00975746">
      <w:pPr>
        <w:pStyle w:val="PL"/>
        <w:snapToGrid w:val="0"/>
      </w:pPr>
      <w:r w:rsidRPr="00C0503E">
        <w:lastRenderedPageBreak/>
        <w:t xml:space="preserve">        ms320                               </w:t>
      </w:r>
      <w:r w:rsidRPr="00C0503E">
        <w:rPr>
          <w:color w:val="993366"/>
        </w:rPr>
        <w:t>INTEGER</w:t>
      </w:r>
      <w:r w:rsidRPr="00C0503E">
        <w:t>(0..319),</w:t>
      </w:r>
    </w:p>
    <w:p w14:paraId="323EB972" w14:textId="77777777" w:rsidR="00975746" w:rsidRPr="00C0503E" w:rsidRDefault="00975746" w:rsidP="00975746">
      <w:pPr>
        <w:pStyle w:val="PL"/>
        <w:snapToGrid w:val="0"/>
      </w:pPr>
      <w:r w:rsidRPr="00C0503E">
        <w:t xml:space="preserve">        ms512                               </w:t>
      </w:r>
      <w:r w:rsidRPr="00C0503E">
        <w:rPr>
          <w:color w:val="993366"/>
        </w:rPr>
        <w:t>INTEGER</w:t>
      </w:r>
      <w:r w:rsidRPr="00C0503E">
        <w:t>(0..511),</w:t>
      </w:r>
    </w:p>
    <w:p w14:paraId="2B5D1B30" w14:textId="77777777" w:rsidR="00975746" w:rsidRPr="00C0503E" w:rsidRDefault="00975746" w:rsidP="00975746">
      <w:pPr>
        <w:pStyle w:val="PL"/>
        <w:snapToGrid w:val="0"/>
      </w:pPr>
      <w:r w:rsidRPr="00C0503E">
        <w:t xml:space="preserve">        ms640                               </w:t>
      </w:r>
      <w:r w:rsidRPr="00C0503E">
        <w:rPr>
          <w:color w:val="993366"/>
        </w:rPr>
        <w:t>INTEGER</w:t>
      </w:r>
      <w:r w:rsidRPr="00C0503E">
        <w:t>(0..639),</w:t>
      </w:r>
    </w:p>
    <w:p w14:paraId="2DE8D2EF" w14:textId="77777777" w:rsidR="00975746" w:rsidRPr="00C0503E" w:rsidRDefault="00975746" w:rsidP="00975746">
      <w:pPr>
        <w:pStyle w:val="PL"/>
        <w:snapToGrid w:val="0"/>
      </w:pPr>
      <w:r w:rsidRPr="00C0503E">
        <w:t xml:space="preserve">        ms1024                              </w:t>
      </w:r>
      <w:r w:rsidRPr="00C0503E">
        <w:rPr>
          <w:color w:val="993366"/>
        </w:rPr>
        <w:t>INTEGER</w:t>
      </w:r>
      <w:r w:rsidRPr="00C0503E">
        <w:t>(0..1023),</w:t>
      </w:r>
    </w:p>
    <w:p w14:paraId="57F0F423" w14:textId="77777777" w:rsidR="00975746" w:rsidRPr="00C0503E" w:rsidRDefault="00975746" w:rsidP="00975746">
      <w:pPr>
        <w:pStyle w:val="PL"/>
        <w:snapToGrid w:val="0"/>
      </w:pPr>
      <w:r w:rsidRPr="00C0503E">
        <w:t xml:space="preserve">        ms1280                              </w:t>
      </w:r>
      <w:r w:rsidRPr="00C0503E">
        <w:rPr>
          <w:color w:val="993366"/>
        </w:rPr>
        <w:t>INTEGER</w:t>
      </w:r>
      <w:r w:rsidRPr="00C0503E">
        <w:t>(0..1279),</w:t>
      </w:r>
    </w:p>
    <w:p w14:paraId="51D2D056" w14:textId="77777777" w:rsidR="00975746" w:rsidRPr="00C0503E" w:rsidRDefault="00975746" w:rsidP="00975746">
      <w:pPr>
        <w:pStyle w:val="PL"/>
        <w:snapToGrid w:val="0"/>
      </w:pPr>
      <w:r w:rsidRPr="00C0503E">
        <w:t xml:space="preserve">        ms2048                              </w:t>
      </w:r>
      <w:r w:rsidRPr="00C0503E">
        <w:rPr>
          <w:color w:val="993366"/>
        </w:rPr>
        <w:t>INTEGER</w:t>
      </w:r>
      <w:r w:rsidRPr="00C0503E">
        <w:t>(0..2047),</w:t>
      </w:r>
    </w:p>
    <w:p w14:paraId="1F8F431E" w14:textId="77777777" w:rsidR="00975746" w:rsidRPr="00C0503E" w:rsidRDefault="00975746" w:rsidP="00975746">
      <w:pPr>
        <w:pStyle w:val="PL"/>
        <w:snapToGrid w:val="0"/>
      </w:pPr>
      <w:r w:rsidRPr="00C0503E">
        <w:t xml:space="preserve">        ms2560                              </w:t>
      </w:r>
      <w:r w:rsidRPr="00C0503E">
        <w:rPr>
          <w:color w:val="993366"/>
        </w:rPr>
        <w:t>INTEGER</w:t>
      </w:r>
      <w:r w:rsidRPr="00C0503E">
        <w:t>(0..2559),</w:t>
      </w:r>
    </w:p>
    <w:p w14:paraId="560EA180" w14:textId="77777777" w:rsidR="00975746" w:rsidRPr="00C0503E" w:rsidRDefault="00975746" w:rsidP="00975746">
      <w:pPr>
        <w:pStyle w:val="PL"/>
        <w:snapToGrid w:val="0"/>
      </w:pPr>
      <w:r w:rsidRPr="00C0503E">
        <w:t xml:space="preserve">        ms5120                              </w:t>
      </w:r>
      <w:r w:rsidRPr="00C0503E">
        <w:rPr>
          <w:color w:val="993366"/>
        </w:rPr>
        <w:t>INTEGER</w:t>
      </w:r>
      <w:r w:rsidRPr="00C0503E">
        <w:t>(0..5119),</w:t>
      </w:r>
    </w:p>
    <w:p w14:paraId="0A568FE8" w14:textId="77777777" w:rsidR="00975746" w:rsidRPr="00C0503E" w:rsidRDefault="00975746" w:rsidP="00975746">
      <w:pPr>
        <w:pStyle w:val="PL"/>
        <w:snapToGrid w:val="0"/>
      </w:pPr>
      <w:r w:rsidRPr="00C0503E">
        <w:t xml:space="preserve">        ms10240                             </w:t>
      </w:r>
      <w:r w:rsidRPr="00C0503E">
        <w:rPr>
          <w:color w:val="993366"/>
        </w:rPr>
        <w:t>INTEGER</w:t>
      </w:r>
      <w:r w:rsidRPr="00C0503E">
        <w:t>(0..10239)</w:t>
      </w:r>
    </w:p>
    <w:p w14:paraId="35DB7A0B" w14:textId="77777777" w:rsidR="00975746" w:rsidRPr="00C0503E" w:rsidRDefault="00975746" w:rsidP="00975746">
      <w:pPr>
        <w:pStyle w:val="PL"/>
        <w:snapToGrid w:val="0"/>
      </w:pPr>
      <w:r w:rsidRPr="00C0503E">
        <w:t xml:space="preserve">    },</w:t>
      </w:r>
    </w:p>
    <w:p w14:paraId="3FE5CBC4" w14:textId="77777777" w:rsidR="00975746" w:rsidRPr="00C0503E" w:rsidRDefault="00975746" w:rsidP="00975746">
      <w:pPr>
        <w:pStyle w:val="PL"/>
        <w:snapToGrid w:val="0"/>
      </w:pPr>
      <w:r w:rsidRPr="00C0503E">
        <w:t xml:space="preserve">    shortDRX                            </w:t>
      </w:r>
      <w:r w:rsidRPr="00C0503E">
        <w:rPr>
          <w:color w:val="993366"/>
        </w:rPr>
        <w:t>SEQUENCE</w:t>
      </w:r>
      <w:r w:rsidRPr="00C0503E">
        <w:t xml:space="preserve"> {</w:t>
      </w:r>
    </w:p>
    <w:p w14:paraId="6DC6FAE3" w14:textId="77777777" w:rsidR="00975746" w:rsidRPr="00C0503E" w:rsidRDefault="00975746" w:rsidP="00975746">
      <w:pPr>
        <w:pStyle w:val="PL"/>
        <w:snapToGrid w:val="0"/>
      </w:pPr>
      <w:r w:rsidRPr="00C0503E">
        <w:t xml:space="preserve">        drx-ShortCycle                      </w:t>
      </w:r>
      <w:r w:rsidRPr="00C0503E">
        <w:rPr>
          <w:color w:val="993366"/>
        </w:rPr>
        <w:t>ENUMERATED</w:t>
      </w:r>
      <w:r w:rsidRPr="00C0503E">
        <w:t xml:space="preserve">  {</w:t>
      </w:r>
    </w:p>
    <w:p w14:paraId="0593CAC2" w14:textId="77777777" w:rsidR="00975746" w:rsidRPr="00C0503E" w:rsidRDefault="00975746" w:rsidP="00975746">
      <w:pPr>
        <w:pStyle w:val="PL"/>
        <w:snapToGrid w:val="0"/>
      </w:pPr>
      <w:r w:rsidRPr="00C0503E">
        <w:t xml:space="preserve">                                                ms2, ms3, ms4, ms5, ms6, ms7, ms8, ms10, ms14, ms16, ms20, ms30, ms32,</w:t>
      </w:r>
    </w:p>
    <w:p w14:paraId="11D6245C" w14:textId="77777777" w:rsidR="00975746" w:rsidRPr="00C0503E" w:rsidRDefault="00975746" w:rsidP="00975746">
      <w:pPr>
        <w:pStyle w:val="PL"/>
        <w:snapToGrid w:val="0"/>
      </w:pPr>
      <w:r w:rsidRPr="00C0503E">
        <w:t xml:space="preserve">                                                ms35, ms40, ms64, ms80, ms128, ms160, ms256, ms320, ms512, ms640, spare9,</w:t>
      </w:r>
    </w:p>
    <w:p w14:paraId="5F3D9385" w14:textId="77777777" w:rsidR="00975746" w:rsidRPr="00C0503E" w:rsidRDefault="00975746" w:rsidP="00975746">
      <w:pPr>
        <w:pStyle w:val="PL"/>
        <w:snapToGrid w:val="0"/>
      </w:pPr>
      <w:r w:rsidRPr="00C0503E">
        <w:t xml:space="preserve">                                                spare8, spare7, spare6, spare5, spare4, spare3, spare2, spare1 },</w:t>
      </w:r>
    </w:p>
    <w:p w14:paraId="585134B3" w14:textId="77777777" w:rsidR="00975746" w:rsidRPr="00C0503E" w:rsidRDefault="00975746" w:rsidP="00975746">
      <w:pPr>
        <w:pStyle w:val="PL"/>
        <w:snapToGrid w:val="0"/>
      </w:pPr>
      <w:r w:rsidRPr="00C0503E">
        <w:t xml:space="preserve">        drx-ShortCycleTimer                 </w:t>
      </w:r>
      <w:r w:rsidRPr="00C0503E">
        <w:rPr>
          <w:color w:val="993366"/>
        </w:rPr>
        <w:t>INTEGER</w:t>
      </w:r>
      <w:r w:rsidRPr="00C0503E">
        <w:t xml:space="preserve"> (1..16)</w:t>
      </w:r>
    </w:p>
    <w:p w14:paraId="3E5F99A2" w14:textId="77777777" w:rsidR="00975746" w:rsidRPr="00C0503E" w:rsidRDefault="00975746" w:rsidP="00975746">
      <w:pPr>
        <w:pStyle w:val="PL"/>
        <w:snapToGrid w:val="0"/>
        <w:rPr>
          <w:color w:val="808080"/>
        </w:rPr>
      </w:pPr>
      <w:r w:rsidRPr="00C0503E">
        <w:t xml:space="preserve">    }                                                                                                           </w:t>
      </w:r>
      <w:r w:rsidRPr="00C0503E">
        <w:rPr>
          <w:color w:val="993366"/>
        </w:rPr>
        <w:t>OPTIONAL</w:t>
      </w:r>
      <w:r w:rsidRPr="00C0503E">
        <w:t xml:space="preserve">,   </w:t>
      </w:r>
      <w:r w:rsidRPr="00C0503E">
        <w:rPr>
          <w:color w:val="808080"/>
        </w:rPr>
        <w:t>-- Need R</w:t>
      </w:r>
    </w:p>
    <w:p w14:paraId="7495B730" w14:textId="77777777" w:rsidR="00975746" w:rsidRPr="00C0503E" w:rsidRDefault="00975746" w:rsidP="00975746">
      <w:pPr>
        <w:pStyle w:val="PL"/>
        <w:snapToGrid w:val="0"/>
      </w:pPr>
      <w:r w:rsidRPr="00C0503E">
        <w:t xml:space="preserve">    drx-SlotOffset                      </w:t>
      </w:r>
      <w:r w:rsidRPr="00C0503E">
        <w:rPr>
          <w:color w:val="993366"/>
        </w:rPr>
        <w:t>INTEGER</w:t>
      </w:r>
      <w:r w:rsidRPr="00C0503E">
        <w:t xml:space="preserve"> (0..31)</w:t>
      </w:r>
    </w:p>
    <w:p w14:paraId="2EA19663" w14:textId="77777777" w:rsidR="00975746" w:rsidRPr="00C0503E" w:rsidRDefault="00975746" w:rsidP="00975746">
      <w:pPr>
        <w:pStyle w:val="PL"/>
        <w:snapToGrid w:val="0"/>
      </w:pPr>
      <w:r w:rsidRPr="00C0503E">
        <w:t>}</w:t>
      </w:r>
    </w:p>
    <w:p w14:paraId="081327D0" w14:textId="77777777" w:rsidR="00975746" w:rsidRPr="00C0503E" w:rsidRDefault="00975746" w:rsidP="00975746">
      <w:pPr>
        <w:pStyle w:val="PL"/>
        <w:snapToGrid w:val="0"/>
      </w:pPr>
    </w:p>
    <w:p w14:paraId="61EB13DA" w14:textId="77777777" w:rsidR="00975746" w:rsidRPr="00C0503E" w:rsidRDefault="00975746" w:rsidP="00975746">
      <w:pPr>
        <w:pStyle w:val="PL"/>
        <w:snapToGrid w:val="0"/>
      </w:pPr>
      <w:r w:rsidRPr="00C0503E">
        <w:t xml:space="preserve">DRX-ConfigExt-v1700 ::=                 </w:t>
      </w:r>
      <w:r w:rsidRPr="00C0503E">
        <w:rPr>
          <w:color w:val="993366"/>
        </w:rPr>
        <w:t>SEQUENCE</w:t>
      </w:r>
      <w:r w:rsidRPr="00C0503E">
        <w:t xml:space="preserve"> {</w:t>
      </w:r>
    </w:p>
    <w:p w14:paraId="1265825E" w14:textId="77777777" w:rsidR="00975746" w:rsidRPr="00C0503E" w:rsidRDefault="00975746" w:rsidP="00975746">
      <w:pPr>
        <w:pStyle w:val="PL"/>
        <w:snapToGrid w:val="0"/>
      </w:pPr>
      <w:r w:rsidRPr="00C0503E">
        <w:t xml:space="preserve">    drx-HARQ-RTT-TimerDL-r17                </w:t>
      </w:r>
      <w:r w:rsidRPr="00C0503E">
        <w:rPr>
          <w:color w:val="993366"/>
        </w:rPr>
        <w:t>INTEGER</w:t>
      </w:r>
      <w:r w:rsidRPr="00C0503E">
        <w:t xml:space="preserve"> (0..448),</w:t>
      </w:r>
    </w:p>
    <w:p w14:paraId="5B470067" w14:textId="77777777" w:rsidR="00975746" w:rsidRPr="00C0503E" w:rsidRDefault="00975746" w:rsidP="00975746">
      <w:pPr>
        <w:pStyle w:val="PL"/>
        <w:snapToGrid w:val="0"/>
      </w:pPr>
      <w:r w:rsidRPr="00C0503E">
        <w:t xml:space="preserve">    drx-HARQ-RTT-TimerUL-r17                </w:t>
      </w:r>
      <w:r w:rsidRPr="00C0503E">
        <w:rPr>
          <w:color w:val="993366"/>
        </w:rPr>
        <w:t>INTEGER</w:t>
      </w:r>
      <w:r w:rsidRPr="00C0503E">
        <w:t xml:space="preserve"> (0..448)</w:t>
      </w:r>
    </w:p>
    <w:p w14:paraId="4DE7485B" w14:textId="77777777" w:rsidR="00975746" w:rsidRPr="00C0503E" w:rsidRDefault="00975746" w:rsidP="00975746">
      <w:pPr>
        <w:pStyle w:val="PL"/>
        <w:snapToGrid w:val="0"/>
      </w:pPr>
      <w:r w:rsidRPr="00C0503E">
        <w:t>}</w:t>
      </w:r>
    </w:p>
    <w:p w14:paraId="3CCFBC33" w14:textId="77777777" w:rsidR="00975746" w:rsidRPr="00C0503E" w:rsidRDefault="00975746" w:rsidP="00975746">
      <w:pPr>
        <w:pStyle w:val="PL"/>
        <w:snapToGrid w:val="0"/>
      </w:pPr>
    </w:p>
    <w:p w14:paraId="0873D503" w14:textId="77777777" w:rsidR="00975746" w:rsidRPr="00C0503E" w:rsidRDefault="00975746" w:rsidP="00975746">
      <w:pPr>
        <w:pStyle w:val="PL"/>
        <w:snapToGrid w:val="0"/>
        <w:rPr>
          <w:color w:val="808080"/>
        </w:rPr>
      </w:pPr>
      <w:r w:rsidRPr="00C0503E">
        <w:rPr>
          <w:color w:val="808080"/>
        </w:rPr>
        <w:t>-- TAG-DRX-CONFIG-STOP</w:t>
      </w:r>
    </w:p>
    <w:p w14:paraId="1A367365" w14:textId="1C6EE938" w:rsidR="00466687" w:rsidRPr="000F4BA8" w:rsidRDefault="00975746" w:rsidP="000F4BA8">
      <w:pPr>
        <w:pStyle w:val="PL"/>
        <w:snapToGrid w:val="0"/>
        <w:rPr>
          <w:color w:val="808080"/>
        </w:rPr>
      </w:pPr>
      <w:r w:rsidRPr="00C0503E">
        <w:rPr>
          <w:color w:val="808080"/>
        </w:rPr>
        <w:t>-- ASN1STOP</w:t>
      </w:r>
      <w:bookmarkStart w:id="11" w:name="_GoBack"/>
      <w:bookmarkEnd w:id="11"/>
    </w:p>
    <w:sectPr w:rsidR="00466687" w:rsidRPr="000F4BA8" w:rsidSect="00975746">
      <w:pgSz w:w="16838" w:h="11906" w:orient="landscape"/>
      <w:pgMar w:top="1134" w:right="1418"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158A" w16cex:dateUtc="2023-08-08T11:27:00Z"/>
  <w16cex:commentExtensible w16cex:durableId="287D161A" w16cex:dateUtc="2023-08-08T11:29:00Z"/>
  <w16cex:commentExtensible w16cex:durableId="287D1659" w16cex:dateUtc="2023-08-08T1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0E73F" w14:textId="77777777" w:rsidR="00877845" w:rsidRDefault="00877845" w:rsidP="003E7FE5">
      <w:r>
        <w:separator/>
      </w:r>
    </w:p>
  </w:endnote>
  <w:endnote w:type="continuationSeparator" w:id="0">
    <w:p w14:paraId="4036D23F" w14:textId="77777777" w:rsidR="00877845" w:rsidRDefault="00877845"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CCF6" w14:textId="77777777" w:rsidR="00877845" w:rsidRDefault="00877845" w:rsidP="003E7FE5">
      <w:r>
        <w:separator/>
      </w:r>
    </w:p>
  </w:footnote>
  <w:footnote w:type="continuationSeparator" w:id="0">
    <w:p w14:paraId="2293FC09" w14:textId="77777777" w:rsidR="00877845" w:rsidRDefault="00877845"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2"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5" w15:restartNumberingAfterBreak="0">
    <w:nsid w:val="706E0E15"/>
    <w:multiLevelType w:val="hybridMultilevel"/>
    <w:tmpl w:val="C5389A2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2"/>
  </w:num>
  <w:num w:numId="3">
    <w:abstractNumId w:val="8"/>
  </w:num>
  <w:num w:numId="4">
    <w:abstractNumId w:val="2"/>
  </w:num>
  <w:num w:numId="5">
    <w:abstractNumId w:val="14"/>
  </w:num>
  <w:num w:numId="6">
    <w:abstractNumId w:val="13"/>
  </w:num>
  <w:num w:numId="7">
    <w:abstractNumId w:val="7"/>
  </w:num>
  <w:num w:numId="8">
    <w:abstractNumId w:val="4"/>
  </w:num>
  <w:num w:numId="9">
    <w:abstractNumId w:val="17"/>
  </w:num>
  <w:num w:numId="10">
    <w:abstractNumId w:val="6"/>
  </w:num>
  <w:num w:numId="11">
    <w:abstractNumId w:val="11"/>
  </w:num>
  <w:num w:numId="12">
    <w:abstractNumId w:val="5"/>
  </w:num>
  <w:num w:numId="13">
    <w:abstractNumId w:val="18"/>
  </w:num>
  <w:num w:numId="14">
    <w:abstractNumId w:val="3"/>
  </w:num>
  <w:num w:numId="15">
    <w:abstractNumId w:val="9"/>
  </w:num>
  <w:num w:numId="16">
    <w:abstractNumId w:val="1"/>
  </w:num>
  <w:num w:numId="17">
    <w:abstractNumId w:val="0"/>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7E49"/>
    <w:rsid w:val="00034AE9"/>
    <w:rsid w:val="000444C5"/>
    <w:rsid w:val="00050EF2"/>
    <w:rsid w:val="0006132B"/>
    <w:rsid w:val="000725E4"/>
    <w:rsid w:val="00077CB0"/>
    <w:rsid w:val="000A3A3B"/>
    <w:rsid w:val="000E4A94"/>
    <w:rsid w:val="000E758D"/>
    <w:rsid w:val="000F0640"/>
    <w:rsid w:val="000F4BA8"/>
    <w:rsid w:val="0010035D"/>
    <w:rsid w:val="001121CD"/>
    <w:rsid w:val="001129D4"/>
    <w:rsid w:val="001237B8"/>
    <w:rsid w:val="001410D9"/>
    <w:rsid w:val="001445FB"/>
    <w:rsid w:val="001448D5"/>
    <w:rsid w:val="0016785A"/>
    <w:rsid w:val="0017273B"/>
    <w:rsid w:val="00194C84"/>
    <w:rsid w:val="001A25FC"/>
    <w:rsid w:val="001A2E65"/>
    <w:rsid w:val="001A5E91"/>
    <w:rsid w:val="001F3D41"/>
    <w:rsid w:val="00211D99"/>
    <w:rsid w:val="00214A6C"/>
    <w:rsid w:val="00233577"/>
    <w:rsid w:val="002541C7"/>
    <w:rsid w:val="00266444"/>
    <w:rsid w:val="0026661A"/>
    <w:rsid w:val="00275729"/>
    <w:rsid w:val="00277D41"/>
    <w:rsid w:val="00284C62"/>
    <w:rsid w:val="002855E3"/>
    <w:rsid w:val="00292F23"/>
    <w:rsid w:val="002A4CB7"/>
    <w:rsid w:val="002A5FBD"/>
    <w:rsid w:val="002B1637"/>
    <w:rsid w:val="002B351A"/>
    <w:rsid w:val="002C273C"/>
    <w:rsid w:val="002C4919"/>
    <w:rsid w:val="002D236C"/>
    <w:rsid w:val="002E7299"/>
    <w:rsid w:val="002F43DB"/>
    <w:rsid w:val="002F7666"/>
    <w:rsid w:val="003144E6"/>
    <w:rsid w:val="003153AB"/>
    <w:rsid w:val="00343E37"/>
    <w:rsid w:val="003777D8"/>
    <w:rsid w:val="0038200A"/>
    <w:rsid w:val="00385BCD"/>
    <w:rsid w:val="00386243"/>
    <w:rsid w:val="0039116D"/>
    <w:rsid w:val="00392CF2"/>
    <w:rsid w:val="00394D3B"/>
    <w:rsid w:val="003A2AEA"/>
    <w:rsid w:val="003B4E47"/>
    <w:rsid w:val="003E7FE5"/>
    <w:rsid w:val="003F5429"/>
    <w:rsid w:val="003F5B6D"/>
    <w:rsid w:val="003F7E10"/>
    <w:rsid w:val="0040243C"/>
    <w:rsid w:val="00414D7D"/>
    <w:rsid w:val="004229EB"/>
    <w:rsid w:val="00423189"/>
    <w:rsid w:val="00427623"/>
    <w:rsid w:val="00433688"/>
    <w:rsid w:val="004526A5"/>
    <w:rsid w:val="00466687"/>
    <w:rsid w:val="004A21A1"/>
    <w:rsid w:val="004A239E"/>
    <w:rsid w:val="004B7394"/>
    <w:rsid w:val="004D0653"/>
    <w:rsid w:val="004E1D81"/>
    <w:rsid w:val="004E29CA"/>
    <w:rsid w:val="004F599D"/>
    <w:rsid w:val="004F773B"/>
    <w:rsid w:val="00500EFE"/>
    <w:rsid w:val="005017F6"/>
    <w:rsid w:val="005234B1"/>
    <w:rsid w:val="00533C07"/>
    <w:rsid w:val="00536C5B"/>
    <w:rsid w:val="00540881"/>
    <w:rsid w:val="00541641"/>
    <w:rsid w:val="0055188C"/>
    <w:rsid w:val="005621E9"/>
    <w:rsid w:val="00572C05"/>
    <w:rsid w:val="005A3EE2"/>
    <w:rsid w:val="005A680C"/>
    <w:rsid w:val="005C100D"/>
    <w:rsid w:val="005D6D93"/>
    <w:rsid w:val="00600071"/>
    <w:rsid w:val="006011D9"/>
    <w:rsid w:val="00624E50"/>
    <w:rsid w:val="006419F8"/>
    <w:rsid w:val="00656556"/>
    <w:rsid w:val="00670BA2"/>
    <w:rsid w:val="00675CA4"/>
    <w:rsid w:val="00677DE8"/>
    <w:rsid w:val="006843F4"/>
    <w:rsid w:val="00690A1F"/>
    <w:rsid w:val="0069584A"/>
    <w:rsid w:val="006B0026"/>
    <w:rsid w:val="00701B54"/>
    <w:rsid w:val="0073196B"/>
    <w:rsid w:val="00756311"/>
    <w:rsid w:val="00762D81"/>
    <w:rsid w:val="00775F8A"/>
    <w:rsid w:val="007801CA"/>
    <w:rsid w:val="007933C2"/>
    <w:rsid w:val="007B68E3"/>
    <w:rsid w:val="007C1459"/>
    <w:rsid w:val="007C761D"/>
    <w:rsid w:val="007E174A"/>
    <w:rsid w:val="007E197F"/>
    <w:rsid w:val="00804755"/>
    <w:rsid w:val="008158E4"/>
    <w:rsid w:val="00816E93"/>
    <w:rsid w:val="00831490"/>
    <w:rsid w:val="00863C3B"/>
    <w:rsid w:val="00867BA5"/>
    <w:rsid w:val="008704A2"/>
    <w:rsid w:val="00877845"/>
    <w:rsid w:val="00881F32"/>
    <w:rsid w:val="0089485A"/>
    <w:rsid w:val="008A0860"/>
    <w:rsid w:val="008A52CB"/>
    <w:rsid w:val="008D6FFA"/>
    <w:rsid w:val="008E08F7"/>
    <w:rsid w:val="008F4F46"/>
    <w:rsid w:val="00913ACC"/>
    <w:rsid w:val="0091483E"/>
    <w:rsid w:val="009320AD"/>
    <w:rsid w:val="00970C8D"/>
    <w:rsid w:val="009726C1"/>
    <w:rsid w:val="00975746"/>
    <w:rsid w:val="00977917"/>
    <w:rsid w:val="0099086A"/>
    <w:rsid w:val="009A4A8D"/>
    <w:rsid w:val="009A760A"/>
    <w:rsid w:val="009B13CB"/>
    <w:rsid w:val="009B4524"/>
    <w:rsid w:val="009B7AAC"/>
    <w:rsid w:val="009C091D"/>
    <w:rsid w:val="009C2B9D"/>
    <w:rsid w:val="009C6C22"/>
    <w:rsid w:val="009D02D9"/>
    <w:rsid w:val="009D20AB"/>
    <w:rsid w:val="009F7FA4"/>
    <w:rsid w:val="00A03F0A"/>
    <w:rsid w:val="00A05584"/>
    <w:rsid w:val="00A2414B"/>
    <w:rsid w:val="00A36B0F"/>
    <w:rsid w:val="00A93A63"/>
    <w:rsid w:val="00A95FAE"/>
    <w:rsid w:val="00A9772D"/>
    <w:rsid w:val="00AD031B"/>
    <w:rsid w:val="00AF48F0"/>
    <w:rsid w:val="00AF4CE4"/>
    <w:rsid w:val="00B016E4"/>
    <w:rsid w:val="00B1430E"/>
    <w:rsid w:val="00B22A4A"/>
    <w:rsid w:val="00B3056B"/>
    <w:rsid w:val="00B3204D"/>
    <w:rsid w:val="00B4348E"/>
    <w:rsid w:val="00B446DC"/>
    <w:rsid w:val="00B446F1"/>
    <w:rsid w:val="00B5096C"/>
    <w:rsid w:val="00B868C1"/>
    <w:rsid w:val="00B90026"/>
    <w:rsid w:val="00BA57C4"/>
    <w:rsid w:val="00BA70E1"/>
    <w:rsid w:val="00BC338D"/>
    <w:rsid w:val="00BF43BA"/>
    <w:rsid w:val="00C052EE"/>
    <w:rsid w:val="00C06DD9"/>
    <w:rsid w:val="00C460E9"/>
    <w:rsid w:val="00C5244F"/>
    <w:rsid w:val="00C57EB4"/>
    <w:rsid w:val="00C7419D"/>
    <w:rsid w:val="00CB5FF7"/>
    <w:rsid w:val="00CB7676"/>
    <w:rsid w:val="00CD02FB"/>
    <w:rsid w:val="00CE3C21"/>
    <w:rsid w:val="00CF01AF"/>
    <w:rsid w:val="00CF02E5"/>
    <w:rsid w:val="00CF4EDB"/>
    <w:rsid w:val="00D0686A"/>
    <w:rsid w:val="00D114AE"/>
    <w:rsid w:val="00D44234"/>
    <w:rsid w:val="00D62CF7"/>
    <w:rsid w:val="00D801CB"/>
    <w:rsid w:val="00D8388D"/>
    <w:rsid w:val="00D97559"/>
    <w:rsid w:val="00DA6D01"/>
    <w:rsid w:val="00DC71A7"/>
    <w:rsid w:val="00DE717C"/>
    <w:rsid w:val="00DE742A"/>
    <w:rsid w:val="00DF7126"/>
    <w:rsid w:val="00E14384"/>
    <w:rsid w:val="00E165F2"/>
    <w:rsid w:val="00E16EEA"/>
    <w:rsid w:val="00E17311"/>
    <w:rsid w:val="00E17B34"/>
    <w:rsid w:val="00E3582D"/>
    <w:rsid w:val="00E443C4"/>
    <w:rsid w:val="00E608A5"/>
    <w:rsid w:val="00E7107A"/>
    <w:rsid w:val="00E83517"/>
    <w:rsid w:val="00E871C0"/>
    <w:rsid w:val="00E87241"/>
    <w:rsid w:val="00E95E8A"/>
    <w:rsid w:val="00EA306D"/>
    <w:rsid w:val="00EB2590"/>
    <w:rsid w:val="00EF37B8"/>
    <w:rsid w:val="00F0258A"/>
    <w:rsid w:val="00F06FA4"/>
    <w:rsid w:val="00F20B0A"/>
    <w:rsid w:val="00F27036"/>
    <w:rsid w:val="00F32BCC"/>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466687"/>
    <w:pPr>
      <w:keepNext/>
      <w:keepLines/>
      <w:widowControl/>
      <w:outlineLvl w:val="2"/>
    </w:pPr>
    <w:rPr>
      <w:rFonts w:ascii="Arial" w:hAnsi="Arial" w:cs="Arial"/>
      <w:bCs/>
      <w:i/>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466687"/>
    <w:rPr>
      <w:rFonts w:ascii="Arial" w:hAnsi="Arial" w:cs="Arial"/>
      <w:bCs/>
      <w:i/>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894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9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4</cp:revision>
  <dcterms:created xsi:type="dcterms:W3CDTF">2023-08-11T02:44:00Z</dcterms:created>
  <dcterms:modified xsi:type="dcterms:W3CDTF">2023-08-11T02:50:00Z</dcterms:modified>
</cp:coreProperties>
</file>